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0FCCB8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F12FC">
        <w:t>106bis-e</w:t>
      </w:r>
      <w:r w:rsidRPr="00CE0424">
        <w:tab/>
      </w:r>
      <w:r w:rsidR="00091557" w:rsidRPr="00CE0424">
        <w:rPr>
          <w:sz w:val="32"/>
          <w:szCs w:val="32"/>
        </w:rPr>
        <w:t>R</w:t>
      </w:r>
      <w:r w:rsidR="004F12FC">
        <w:rPr>
          <w:sz w:val="32"/>
          <w:szCs w:val="32"/>
        </w:rPr>
        <w:t>4</w:t>
      </w:r>
      <w:r w:rsidR="00091557" w:rsidRPr="00CE0424">
        <w:rPr>
          <w:sz w:val="32"/>
          <w:szCs w:val="32"/>
        </w:rPr>
        <w:t>-</w:t>
      </w:r>
      <w:r w:rsidR="004F12FC">
        <w:rPr>
          <w:sz w:val="32"/>
          <w:szCs w:val="32"/>
        </w:rPr>
        <w:t>23</w:t>
      </w:r>
      <w:r w:rsidR="00C31527">
        <w:rPr>
          <w:sz w:val="32"/>
          <w:szCs w:val="32"/>
        </w:rPr>
        <w:t>04555</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61ABF223"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31527">
        <w:rPr>
          <w:sz w:val="22"/>
          <w:lang w:val="sv-FI"/>
        </w:rPr>
        <w:t>5.29.6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62AD977" w:rsidR="00E90E49" w:rsidRPr="00CE0424" w:rsidRDefault="003D3C45" w:rsidP="00311702">
      <w:pPr>
        <w:pStyle w:val="3GPPHeader"/>
        <w:rPr>
          <w:sz w:val="22"/>
        </w:rPr>
      </w:pPr>
      <w:r>
        <w:rPr>
          <w:sz w:val="22"/>
        </w:rPr>
        <w:t>Title:</w:t>
      </w:r>
      <w:r w:rsidR="00E90E49" w:rsidRPr="00CE0424">
        <w:rPr>
          <w:sz w:val="22"/>
        </w:rPr>
        <w:tab/>
      </w:r>
      <w:r w:rsidR="00C31527" w:rsidRPr="00C31527">
        <w:rPr>
          <w:sz w:val="22"/>
        </w:rPr>
        <w:t>Network controlled repeater demodulation requirements</w:t>
      </w:r>
    </w:p>
    <w:p w14:paraId="025260C1" w14:textId="12AAFBA1" w:rsidR="00E90E49" w:rsidRPr="00CE0424" w:rsidRDefault="00E90E49" w:rsidP="00D546FF">
      <w:pPr>
        <w:pStyle w:val="3GPPHeader"/>
        <w:rPr>
          <w:sz w:val="22"/>
        </w:rPr>
      </w:pPr>
      <w:r w:rsidRPr="00CE0424">
        <w:rPr>
          <w:sz w:val="22"/>
        </w:rPr>
        <w:t>Document for:</w:t>
      </w:r>
      <w:r w:rsidRPr="00CE0424">
        <w:rPr>
          <w:sz w:val="22"/>
        </w:rPr>
        <w:tab/>
      </w:r>
      <w:r w:rsidR="00C31527">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26C67B2" w:rsidR="00477768" w:rsidRDefault="00873C9C" w:rsidP="00CE0424">
      <w:pPr>
        <w:pStyle w:val="BodyText"/>
      </w:pPr>
      <w:r>
        <w:t>During RAN#98-e</w:t>
      </w:r>
      <w:r w:rsidR="00410F3B">
        <w:t xml:space="preserve">, </w:t>
      </w:r>
      <w:r w:rsidR="00F56E29">
        <w:t>it was agreed that demodulation agreements should be added to the NCR WI scope. A note was added to the WID t</w:t>
      </w:r>
      <w:r w:rsidR="005D6FC3">
        <w:t xml:space="preserve">hat the demodulation requirements should be </w:t>
      </w:r>
      <w:r w:rsidR="00896D88">
        <w:t>a subset of those from 38.101-4 with some adaptations as needed and similar to IAB-MT:</w:t>
      </w:r>
    </w:p>
    <w:p w14:paraId="4EE68F44" w14:textId="6BACAA4F" w:rsidR="00896D88" w:rsidRDefault="00105736" w:rsidP="00CE0424">
      <w:pPr>
        <w:pStyle w:val="BodyText"/>
        <w:rPr>
          <w:i/>
          <w:iCs/>
        </w:rPr>
      </w:pPr>
      <w:r w:rsidRPr="00105736">
        <w:rPr>
          <w:i/>
          <w:iCs/>
        </w:rPr>
        <w:t>Note-2: The demodulation requirements for NCR-MT are expected to be based on a subset of the UE demodulation requirements in 38.101-4 with some adaptations for e.g. conformance testing procedure and FRCs that are similar to IAB-MT.</w:t>
      </w:r>
    </w:p>
    <w:p w14:paraId="1D6A74EB" w14:textId="0ADA87CB" w:rsidR="00105736" w:rsidRPr="00105736" w:rsidRDefault="00105736" w:rsidP="00CE0424">
      <w:pPr>
        <w:pStyle w:val="BodyText"/>
      </w:pPr>
      <w:r>
        <w:t>This contribution provides some views on NCR-MT demodulation requirements.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3F2B9B52" w:rsidR="00F63950" w:rsidRDefault="00230D18" w:rsidP="00F63950">
      <w:pPr>
        <w:pStyle w:val="Heading2"/>
      </w:pPr>
      <w:r>
        <w:t>2.1</w:t>
      </w:r>
      <w:r>
        <w:tab/>
      </w:r>
      <w:r w:rsidR="00105736">
        <w:t>IAB-MT demodulation requirements</w:t>
      </w:r>
    </w:p>
    <w:p w14:paraId="1E5DD993" w14:textId="47EE9823" w:rsidR="00105736" w:rsidRDefault="003E22B2" w:rsidP="00105736">
      <w:pPr>
        <w:rPr>
          <w:lang w:val="en-GB" w:eastAsia="ja-JP"/>
        </w:rPr>
      </w:pPr>
      <w:r>
        <w:rPr>
          <w:lang w:val="en-GB" w:eastAsia="ja-JP"/>
        </w:rPr>
        <w:t xml:space="preserve">A simplified set of demodulation requirements has been specified for the IAB-MT. The demodulation requirements </w:t>
      </w:r>
      <w:r w:rsidR="00474582">
        <w:rPr>
          <w:lang w:val="en-GB" w:eastAsia="ja-JP"/>
        </w:rPr>
        <w:t xml:space="preserve">for FR1 </w:t>
      </w:r>
      <w:r>
        <w:rPr>
          <w:lang w:val="en-GB" w:eastAsia="ja-JP"/>
        </w:rPr>
        <w:t>consist of:</w:t>
      </w:r>
    </w:p>
    <w:p w14:paraId="1CB1FDDB" w14:textId="696DB2A2" w:rsidR="00196248" w:rsidRDefault="00196248" w:rsidP="003E22B2">
      <w:pPr>
        <w:pStyle w:val="ListParagraph"/>
        <w:numPr>
          <w:ilvl w:val="0"/>
          <w:numId w:val="23"/>
        </w:numPr>
        <w:rPr>
          <w:lang w:val="en-GB" w:eastAsia="ja-JP"/>
        </w:rPr>
      </w:pPr>
      <w:r>
        <w:rPr>
          <w:lang w:val="en-GB" w:eastAsia="ja-JP"/>
        </w:rPr>
        <w:t>TDD 30kHz SCS only</w:t>
      </w:r>
    </w:p>
    <w:p w14:paraId="0D31D023" w14:textId="5D82CECB" w:rsidR="001E56D5" w:rsidRDefault="001E56D5" w:rsidP="003E22B2">
      <w:pPr>
        <w:pStyle w:val="ListParagraph"/>
        <w:numPr>
          <w:ilvl w:val="0"/>
          <w:numId w:val="23"/>
        </w:numPr>
        <w:rPr>
          <w:lang w:val="en-GB" w:eastAsia="ja-JP"/>
        </w:rPr>
      </w:pPr>
      <w:r>
        <w:rPr>
          <w:lang w:val="en-GB" w:eastAsia="ja-JP"/>
        </w:rPr>
        <w:t>No transform precoding</w:t>
      </w:r>
    </w:p>
    <w:p w14:paraId="5D17885C" w14:textId="4F99298B" w:rsidR="00F4157B" w:rsidRDefault="00B35D57" w:rsidP="00F4157B">
      <w:pPr>
        <w:pStyle w:val="ListParagraph"/>
        <w:numPr>
          <w:ilvl w:val="0"/>
          <w:numId w:val="23"/>
        </w:numPr>
        <w:rPr>
          <w:lang w:val="en-GB" w:eastAsia="ja-JP"/>
        </w:rPr>
      </w:pPr>
      <w:r>
        <w:rPr>
          <w:lang w:val="en-GB" w:eastAsia="ja-JP"/>
        </w:rPr>
        <w:t>PDSCH type A, rank 1-4 only</w:t>
      </w:r>
    </w:p>
    <w:p w14:paraId="20C9CF3E" w14:textId="78221EF5" w:rsidR="00F4157B" w:rsidRPr="00F4157B" w:rsidRDefault="00F4157B" w:rsidP="00F4157B">
      <w:pPr>
        <w:pStyle w:val="ListParagraph"/>
        <w:numPr>
          <w:ilvl w:val="0"/>
          <w:numId w:val="23"/>
        </w:numPr>
        <w:rPr>
          <w:lang w:val="en-GB" w:eastAsia="ja-JP"/>
        </w:rPr>
      </w:pPr>
      <w:r>
        <w:rPr>
          <w:lang w:val="en-GB" w:eastAsia="ja-JP"/>
        </w:rPr>
        <w:t>For rank 1, both 30% and 70% throughput</w:t>
      </w:r>
    </w:p>
    <w:p w14:paraId="7E2CA901" w14:textId="30BB8925" w:rsidR="00B35D57" w:rsidRDefault="00B35D57" w:rsidP="003E22B2">
      <w:pPr>
        <w:pStyle w:val="ListParagraph"/>
        <w:numPr>
          <w:ilvl w:val="0"/>
          <w:numId w:val="23"/>
        </w:numPr>
        <w:rPr>
          <w:lang w:val="en-GB" w:eastAsia="ja-JP"/>
        </w:rPr>
      </w:pPr>
      <w:r>
        <w:rPr>
          <w:lang w:val="en-GB" w:eastAsia="ja-JP"/>
        </w:rPr>
        <w:t>TDL</w:t>
      </w:r>
      <w:r w:rsidR="0079789A">
        <w:rPr>
          <w:lang w:val="en-GB" w:eastAsia="ja-JP"/>
        </w:rPr>
        <w:t>A</w:t>
      </w:r>
      <w:r>
        <w:rPr>
          <w:lang w:val="en-GB" w:eastAsia="ja-JP"/>
        </w:rPr>
        <w:t>30-10 channel only</w:t>
      </w:r>
    </w:p>
    <w:p w14:paraId="50FC3B3B" w14:textId="21FE38DF" w:rsidR="00B35D57" w:rsidRDefault="00B35D57" w:rsidP="003E22B2">
      <w:pPr>
        <w:pStyle w:val="ListParagraph"/>
        <w:numPr>
          <w:ilvl w:val="0"/>
          <w:numId w:val="23"/>
        </w:numPr>
        <w:rPr>
          <w:lang w:val="en-GB" w:eastAsia="ja-JP"/>
        </w:rPr>
      </w:pPr>
      <w:r>
        <w:rPr>
          <w:lang w:val="en-GB" w:eastAsia="ja-JP"/>
        </w:rPr>
        <w:t>4RX</w:t>
      </w:r>
    </w:p>
    <w:p w14:paraId="24EE9840" w14:textId="798B613F" w:rsidR="00B35D57" w:rsidRDefault="00B35D57" w:rsidP="003E22B2">
      <w:pPr>
        <w:pStyle w:val="ListParagraph"/>
        <w:numPr>
          <w:ilvl w:val="0"/>
          <w:numId w:val="23"/>
        </w:numPr>
        <w:rPr>
          <w:lang w:val="en-GB" w:eastAsia="ja-JP"/>
        </w:rPr>
      </w:pPr>
      <w:r>
        <w:rPr>
          <w:lang w:val="en-GB" w:eastAsia="ja-JP"/>
        </w:rPr>
        <w:t>PDCCH with 1TX and aggregation level 2,4 and 2TX aggregation level 8</w:t>
      </w:r>
    </w:p>
    <w:p w14:paraId="4C0ED0BC" w14:textId="50204DA6" w:rsidR="003E22B2" w:rsidRDefault="003E22B2" w:rsidP="003E22B2">
      <w:pPr>
        <w:pStyle w:val="ListParagraph"/>
        <w:numPr>
          <w:ilvl w:val="0"/>
          <w:numId w:val="23"/>
        </w:numPr>
        <w:rPr>
          <w:lang w:val="en-GB" w:eastAsia="ja-JP"/>
        </w:rPr>
      </w:pPr>
      <w:r>
        <w:rPr>
          <w:lang w:val="en-GB" w:eastAsia="ja-JP"/>
        </w:rPr>
        <w:t>CQI in static channel</w:t>
      </w:r>
    </w:p>
    <w:p w14:paraId="47087F12" w14:textId="1F711533" w:rsidR="003E22B2" w:rsidRDefault="003E22B2" w:rsidP="003E22B2">
      <w:pPr>
        <w:pStyle w:val="ListParagraph"/>
        <w:numPr>
          <w:ilvl w:val="0"/>
          <w:numId w:val="23"/>
        </w:numPr>
        <w:rPr>
          <w:lang w:val="en-GB" w:eastAsia="ja-JP"/>
        </w:rPr>
      </w:pPr>
      <w:r>
        <w:rPr>
          <w:lang w:val="en-GB" w:eastAsia="ja-JP"/>
        </w:rPr>
        <w:t>PMI and RI in TDL</w:t>
      </w:r>
      <w:r w:rsidR="0079789A">
        <w:rPr>
          <w:lang w:val="en-GB" w:eastAsia="ja-JP"/>
        </w:rPr>
        <w:t>A</w:t>
      </w:r>
      <w:r>
        <w:rPr>
          <w:lang w:val="en-GB" w:eastAsia="ja-JP"/>
        </w:rPr>
        <w:t>30 channel</w:t>
      </w:r>
    </w:p>
    <w:p w14:paraId="484CB7AA" w14:textId="77777777" w:rsidR="003E22B2" w:rsidRDefault="003E22B2" w:rsidP="003E22B2">
      <w:pPr>
        <w:rPr>
          <w:lang w:val="en-GB" w:eastAsia="ja-JP"/>
        </w:rPr>
      </w:pPr>
    </w:p>
    <w:p w14:paraId="05AC6960" w14:textId="312B5A66" w:rsidR="00474582" w:rsidRDefault="00474582" w:rsidP="003E22B2">
      <w:pPr>
        <w:rPr>
          <w:lang w:val="en-GB" w:eastAsia="ja-JP"/>
        </w:rPr>
      </w:pPr>
      <w:r>
        <w:rPr>
          <w:lang w:val="en-GB" w:eastAsia="ja-JP"/>
        </w:rPr>
        <w:t xml:space="preserve">For FR2, the </w:t>
      </w:r>
      <w:r w:rsidR="00196248">
        <w:rPr>
          <w:lang w:val="en-GB" w:eastAsia="ja-JP"/>
        </w:rPr>
        <w:t>demodulation requirements for IAB-MT consist of:</w:t>
      </w:r>
    </w:p>
    <w:p w14:paraId="62A7759B" w14:textId="65FAC64B" w:rsidR="00196248" w:rsidRDefault="00196248" w:rsidP="00196248">
      <w:pPr>
        <w:pStyle w:val="ListParagraph"/>
        <w:numPr>
          <w:ilvl w:val="0"/>
          <w:numId w:val="24"/>
        </w:numPr>
        <w:rPr>
          <w:lang w:val="en-GB" w:eastAsia="ja-JP"/>
        </w:rPr>
      </w:pPr>
      <w:r>
        <w:rPr>
          <w:lang w:val="en-GB" w:eastAsia="ja-JP"/>
        </w:rPr>
        <w:t>TDD</w:t>
      </w:r>
    </w:p>
    <w:p w14:paraId="7433307D" w14:textId="53CBBB87" w:rsidR="005425C2" w:rsidRDefault="005425C2" w:rsidP="00196248">
      <w:pPr>
        <w:pStyle w:val="ListParagraph"/>
        <w:numPr>
          <w:ilvl w:val="0"/>
          <w:numId w:val="24"/>
        </w:numPr>
        <w:rPr>
          <w:lang w:val="en-GB" w:eastAsia="ja-JP"/>
        </w:rPr>
      </w:pPr>
      <w:r>
        <w:rPr>
          <w:lang w:val="en-GB" w:eastAsia="ja-JP"/>
        </w:rPr>
        <w:t>No transform precoding</w:t>
      </w:r>
    </w:p>
    <w:p w14:paraId="495AE0C6" w14:textId="295538A7" w:rsidR="00196248" w:rsidRDefault="00196248" w:rsidP="00196248">
      <w:pPr>
        <w:pStyle w:val="ListParagraph"/>
        <w:numPr>
          <w:ilvl w:val="0"/>
          <w:numId w:val="24"/>
        </w:numPr>
        <w:rPr>
          <w:lang w:val="en-GB" w:eastAsia="ja-JP"/>
        </w:rPr>
      </w:pPr>
      <w:r>
        <w:rPr>
          <w:lang w:val="en-GB" w:eastAsia="ja-JP"/>
        </w:rPr>
        <w:t>60kHz SCS and 120kHz SCS</w:t>
      </w:r>
    </w:p>
    <w:p w14:paraId="3D04C92B" w14:textId="4BDBD437" w:rsidR="00196248" w:rsidRDefault="003A432D" w:rsidP="00196248">
      <w:pPr>
        <w:pStyle w:val="ListParagraph"/>
        <w:numPr>
          <w:ilvl w:val="0"/>
          <w:numId w:val="24"/>
        </w:numPr>
        <w:rPr>
          <w:lang w:val="en-GB" w:eastAsia="ja-JP"/>
        </w:rPr>
      </w:pPr>
      <w:r>
        <w:rPr>
          <w:lang w:val="en-GB" w:eastAsia="ja-JP"/>
        </w:rPr>
        <w:t>2TX for PDSCH</w:t>
      </w:r>
    </w:p>
    <w:p w14:paraId="34C99ED0" w14:textId="7C603198" w:rsidR="003A432D" w:rsidRDefault="003A432D" w:rsidP="00196248">
      <w:pPr>
        <w:pStyle w:val="ListParagraph"/>
        <w:numPr>
          <w:ilvl w:val="0"/>
          <w:numId w:val="24"/>
        </w:numPr>
        <w:rPr>
          <w:lang w:val="en-GB" w:eastAsia="ja-JP"/>
        </w:rPr>
      </w:pPr>
      <w:r>
        <w:rPr>
          <w:lang w:val="en-GB" w:eastAsia="ja-JP"/>
        </w:rPr>
        <w:lastRenderedPageBreak/>
        <w:t>2RX</w:t>
      </w:r>
    </w:p>
    <w:p w14:paraId="00A78D01" w14:textId="4FCBFE1D" w:rsidR="003A432D" w:rsidRDefault="003A432D" w:rsidP="00196248">
      <w:pPr>
        <w:pStyle w:val="ListParagraph"/>
        <w:numPr>
          <w:ilvl w:val="0"/>
          <w:numId w:val="24"/>
        </w:numPr>
        <w:rPr>
          <w:lang w:val="en-GB" w:eastAsia="ja-JP"/>
        </w:rPr>
      </w:pPr>
      <w:r>
        <w:rPr>
          <w:lang w:val="en-GB" w:eastAsia="ja-JP"/>
        </w:rPr>
        <w:t>PDSCH mapping type A only</w:t>
      </w:r>
    </w:p>
    <w:p w14:paraId="10532D99" w14:textId="722CFEE6" w:rsidR="004A67D2" w:rsidRDefault="005506D7" w:rsidP="00196248">
      <w:pPr>
        <w:pStyle w:val="ListParagraph"/>
        <w:numPr>
          <w:ilvl w:val="0"/>
          <w:numId w:val="24"/>
        </w:numPr>
        <w:rPr>
          <w:lang w:val="en-GB" w:eastAsia="ja-JP"/>
        </w:rPr>
      </w:pPr>
      <w:r>
        <w:rPr>
          <w:lang w:val="en-GB" w:eastAsia="ja-JP"/>
        </w:rPr>
        <w:t>Rank 1, rank 2 and 100MHz for 120kHz SCS</w:t>
      </w:r>
    </w:p>
    <w:p w14:paraId="0DABA30C" w14:textId="393F6742" w:rsidR="005506D7" w:rsidRDefault="005506D7" w:rsidP="00196248">
      <w:pPr>
        <w:pStyle w:val="ListParagraph"/>
        <w:numPr>
          <w:ilvl w:val="0"/>
          <w:numId w:val="24"/>
        </w:numPr>
        <w:rPr>
          <w:lang w:val="en-GB" w:eastAsia="ja-JP"/>
        </w:rPr>
      </w:pPr>
      <w:r>
        <w:rPr>
          <w:lang w:val="en-GB" w:eastAsia="ja-JP"/>
        </w:rPr>
        <w:t>Rank 1, 50MHz for 60kHz SCS</w:t>
      </w:r>
    </w:p>
    <w:p w14:paraId="241279C2" w14:textId="77777777" w:rsidR="00176B62" w:rsidRDefault="00176B62" w:rsidP="00176B62">
      <w:pPr>
        <w:pStyle w:val="ListParagraph"/>
        <w:numPr>
          <w:ilvl w:val="0"/>
          <w:numId w:val="24"/>
        </w:numPr>
        <w:rPr>
          <w:lang w:val="en-GB" w:eastAsia="ja-JP"/>
        </w:rPr>
      </w:pPr>
      <w:r>
        <w:rPr>
          <w:lang w:val="en-GB" w:eastAsia="ja-JP"/>
        </w:rPr>
        <w:t>PDCCH with 1TX and aggregation level 2,4 and 2TX aggregation level 8</w:t>
      </w:r>
    </w:p>
    <w:p w14:paraId="39DFC3EA" w14:textId="3B321B47" w:rsidR="00176B62" w:rsidRDefault="00176B62" w:rsidP="00196248">
      <w:pPr>
        <w:pStyle w:val="ListParagraph"/>
        <w:numPr>
          <w:ilvl w:val="0"/>
          <w:numId w:val="24"/>
        </w:numPr>
        <w:rPr>
          <w:lang w:val="en-GB" w:eastAsia="ja-JP"/>
        </w:rPr>
      </w:pPr>
      <w:r>
        <w:rPr>
          <w:lang w:val="en-GB" w:eastAsia="ja-JP"/>
        </w:rPr>
        <w:t>TDLA30-75 channel</w:t>
      </w:r>
      <w:r w:rsidR="00BF48C2">
        <w:rPr>
          <w:lang w:val="en-GB" w:eastAsia="ja-JP"/>
        </w:rPr>
        <w:t xml:space="preserve"> for PDSCH and PDCCH</w:t>
      </w:r>
    </w:p>
    <w:p w14:paraId="4B83FB7F" w14:textId="77777777" w:rsidR="00BF48C2" w:rsidRDefault="00BF48C2" w:rsidP="00BF48C2">
      <w:pPr>
        <w:pStyle w:val="ListParagraph"/>
        <w:numPr>
          <w:ilvl w:val="0"/>
          <w:numId w:val="24"/>
        </w:numPr>
        <w:rPr>
          <w:lang w:val="en-GB" w:eastAsia="ja-JP"/>
        </w:rPr>
      </w:pPr>
      <w:r>
        <w:rPr>
          <w:lang w:val="en-GB" w:eastAsia="ja-JP"/>
        </w:rPr>
        <w:t>CQI in static channel</w:t>
      </w:r>
    </w:p>
    <w:p w14:paraId="7D82B6B3" w14:textId="2937C2A4" w:rsidR="00BF48C2" w:rsidRDefault="00BF48C2" w:rsidP="00BF48C2">
      <w:pPr>
        <w:pStyle w:val="ListParagraph"/>
        <w:numPr>
          <w:ilvl w:val="0"/>
          <w:numId w:val="24"/>
        </w:numPr>
        <w:rPr>
          <w:lang w:val="en-GB" w:eastAsia="ja-JP"/>
        </w:rPr>
      </w:pPr>
      <w:r>
        <w:rPr>
          <w:lang w:val="en-GB" w:eastAsia="ja-JP"/>
        </w:rPr>
        <w:t>PMI and RI in TDL</w:t>
      </w:r>
      <w:r w:rsidR="0079789A">
        <w:rPr>
          <w:lang w:val="en-GB" w:eastAsia="ja-JP"/>
        </w:rPr>
        <w:t>A</w:t>
      </w:r>
      <w:r>
        <w:rPr>
          <w:lang w:val="en-GB" w:eastAsia="ja-JP"/>
        </w:rPr>
        <w:t>30 channel</w:t>
      </w:r>
    </w:p>
    <w:p w14:paraId="509FB73B" w14:textId="77777777" w:rsidR="00BF48C2" w:rsidRDefault="00BF48C2" w:rsidP="00BF48C2">
      <w:pPr>
        <w:rPr>
          <w:lang w:val="en-GB" w:eastAsia="ja-JP"/>
        </w:rPr>
      </w:pPr>
    </w:p>
    <w:p w14:paraId="3E56F884" w14:textId="43386F02" w:rsidR="00BF48C2" w:rsidRDefault="00BF48C2" w:rsidP="00BF48C2">
      <w:pPr>
        <w:rPr>
          <w:lang w:val="en-GB" w:eastAsia="ja-JP"/>
        </w:rPr>
      </w:pPr>
      <w:r>
        <w:rPr>
          <w:lang w:val="en-GB" w:eastAsia="ja-JP"/>
        </w:rPr>
        <w:t xml:space="preserve">The IAB-MT requirements were based upon a subset of the UE demodulation </w:t>
      </w:r>
      <w:r w:rsidR="00F4157B">
        <w:rPr>
          <w:lang w:val="en-GB" w:eastAsia="ja-JP"/>
        </w:rPr>
        <w:t>requirements and</w:t>
      </w:r>
      <w:r w:rsidR="00D31D28">
        <w:rPr>
          <w:lang w:val="en-GB" w:eastAsia="ja-JP"/>
        </w:rPr>
        <w:t xml:space="preserve"> were selected to minimize the number of new requirements.</w:t>
      </w:r>
    </w:p>
    <w:p w14:paraId="321D6A8C" w14:textId="72E14692" w:rsidR="00D31D28" w:rsidRPr="00BF48C2" w:rsidRDefault="00D31D28" w:rsidP="00BF48C2">
      <w:pPr>
        <w:rPr>
          <w:lang w:val="en-GB" w:eastAsia="ja-JP"/>
        </w:rPr>
      </w:pPr>
      <w:r>
        <w:rPr>
          <w:lang w:val="en-GB" w:eastAsia="ja-JP"/>
        </w:rPr>
        <w:t xml:space="preserve">The FRCs for the IAB-MT requirements were </w:t>
      </w:r>
      <w:r w:rsidR="005425C2">
        <w:rPr>
          <w:lang w:val="en-GB" w:eastAsia="ja-JP"/>
        </w:rPr>
        <w:t>based upon the UE FRCs, however they were simplified since the SSB is not considered and each slot has the same payload.</w:t>
      </w:r>
    </w:p>
    <w:p w14:paraId="162625FA" w14:textId="51F13B59" w:rsidR="00F63950" w:rsidRDefault="00230D18" w:rsidP="00F63950">
      <w:pPr>
        <w:pStyle w:val="Heading2"/>
      </w:pPr>
      <w:r>
        <w:t>2.2</w:t>
      </w:r>
      <w:r>
        <w:tab/>
      </w:r>
      <w:r w:rsidR="00F4157B">
        <w:t>NCR-MT requirements for FR1</w:t>
      </w:r>
    </w:p>
    <w:p w14:paraId="41EDA7C3" w14:textId="0A42FC01" w:rsidR="004506C2" w:rsidRDefault="004506C2" w:rsidP="004506C2">
      <w:pPr>
        <w:pStyle w:val="Heading3"/>
      </w:pPr>
      <w:r>
        <w:t>2.2.1 General</w:t>
      </w:r>
    </w:p>
    <w:p w14:paraId="3F62D649" w14:textId="3D3FCC42" w:rsidR="00F4157B" w:rsidRDefault="00F4157B" w:rsidP="00A04F49">
      <w:pPr>
        <w:pStyle w:val="BodyText"/>
      </w:pPr>
      <w:r>
        <w:t xml:space="preserve">The NCR-MT is intended for control </w:t>
      </w:r>
      <w:r w:rsidR="00A67FA3">
        <w:t xml:space="preserve">plane </w:t>
      </w:r>
      <w:r>
        <w:t>signaling and not for user plane traffic. Hence, multiple MIMO layers and potentially higher order modulations are not really needed.</w:t>
      </w:r>
    </w:p>
    <w:p w14:paraId="1C4509F6" w14:textId="1A5E9F42" w:rsidR="00386A70" w:rsidRDefault="006F1440" w:rsidP="00A04F49">
      <w:pPr>
        <w:pStyle w:val="BodyText"/>
      </w:pPr>
      <w:r>
        <w:t xml:space="preserve">The NCR-MT may operate </w:t>
      </w:r>
      <w:r w:rsidR="00AB6484">
        <w:t>in almost any of the FR1 or FR2 band</w:t>
      </w:r>
      <w:r w:rsidR="00386A70">
        <w:t>s. This leads to a widening of the scope for demodulation requirements. FDD requirements are needed, and for TDD, 2RX requirements are needed to cover those bands where 4RX is not mandatory. Thus, the following additional requirements are proposed for FR1 compared to IAB-MT:</w:t>
      </w:r>
    </w:p>
    <w:p w14:paraId="1525A6CE" w14:textId="50ED7E5B" w:rsidR="00386A70" w:rsidRDefault="00386A70" w:rsidP="00386A70">
      <w:pPr>
        <w:pStyle w:val="BodyText"/>
        <w:numPr>
          <w:ilvl w:val="0"/>
          <w:numId w:val="26"/>
        </w:numPr>
      </w:pPr>
      <w:r>
        <w:t>FDD, 15kHz SCS, 2RX and 4RX</w:t>
      </w:r>
    </w:p>
    <w:p w14:paraId="42F6B746" w14:textId="542B68C3" w:rsidR="00386A70" w:rsidRDefault="00386A70" w:rsidP="00386A70">
      <w:pPr>
        <w:pStyle w:val="BodyText"/>
        <w:numPr>
          <w:ilvl w:val="0"/>
          <w:numId w:val="26"/>
        </w:numPr>
      </w:pPr>
      <w:r>
        <w:t>TDD, 30kHz SCS, 2RX</w:t>
      </w:r>
    </w:p>
    <w:p w14:paraId="0133C61D" w14:textId="4B779C16" w:rsidR="00386A70" w:rsidRDefault="00386A70" w:rsidP="00386A70">
      <w:pPr>
        <w:pStyle w:val="BodyText"/>
      </w:pPr>
      <w:r>
        <w:t xml:space="preserve">For TDD, 30kHz and 4RX, </w:t>
      </w:r>
      <w:r w:rsidR="00E303E8">
        <w:t>in principle the requirements designed for IAB-MT can be copied. However, since the NCR-MT is intended for control only, potentially the requirements for 2, 3 and 4 layers could be skipped.</w:t>
      </w:r>
    </w:p>
    <w:p w14:paraId="505D43A2" w14:textId="77777777" w:rsidR="00E303E8" w:rsidRDefault="00E303E8" w:rsidP="00386A70">
      <w:pPr>
        <w:pStyle w:val="BodyText"/>
      </w:pPr>
    </w:p>
    <w:p w14:paraId="46C2F4D3" w14:textId="5BA162FC" w:rsidR="00E303E8" w:rsidRDefault="00E303E8" w:rsidP="00E303E8">
      <w:pPr>
        <w:pStyle w:val="Proposal"/>
      </w:pPr>
      <w:bookmarkStart w:id="1" w:name="_Toc131967183"/>
      <w:r>
        <w:t>For FR1, TDD and 30kHz SCS, copy the IAB-MT requirements apart from the requirements for PDSCH, 2, 3 and 4 layer.</w:t>
      </w:r>
      <w:bookmarkEnd w:id="1"/>
    </w:p>
    <w:p w14:paraId="5753D740" w14:textId="77777777" w:rsidR="00386A70" w:rsidRDefault="00386A70" w:rsidP="00386A70">
      <w:pPr>
        <w:pStyle w:val="BodyText"/>
      </w:pPr>
    </w:p>
    <w:p w14:paraId="7E466FC0" w14:textId="3F5B67D2" w:rsidR="00386A70" w:rsidRDefault="00386A70" w:rsidP="00386A70">
      <w:pPr>
        <w:pStyle w:val="Proposal"/>
      </w:pPr>
      <w:bookmarkStart w:id="2" w:name="_Toc131967184"/>
      <w:r>
        <w:t>For FR1, add requirements for the following:</w:t>
      </w:r>
      <w:bookmarkEnd w:id="2"/>
    </w:p>
    <w:p w14:paraId="640CFD29" w14:textId="22873405" w:rsidR="00386A70" w:rsidRDefault="00386A70" w:rsidP="00386A70">
      <w:pPr>
        <w:pStyle w:val="Proposal"/>
        <w:numPr>
          <w:ilvl w:val="0"/>
          <w:numId w:val="25"/>
        </w:numPr>
      </w:pPr>
      <w:bookmarkStart w:id="3" w:name="_Toc131967185"/>
      <w:r>
        <w:t>FDD, 15kHz SCS, 2RX and 4RX</w:t>
      </w:r>
      <w:bookmarkEnd w:id="3"/>
    </w:p>
    <w:p w14:paraId="2A0E22A1" w14:textId="2BA20CE5" w:rsidR="00386A70" w:rsidRDefault="00386A70" w:rsidP="00386A70">
      <w:pPr>
        <w:pStyle w:val="Proposal"/>
        <w:numPr>
          <w:ilvl w:val="0"/>
          <w:numId w:val="25"/>
        </w:numPr>
      </w:pPr>
      <w:bookmarkStart w:id="4" w:name="_Toc131967186"/>
      <w:r>
        <w:t>TDD, 30kHz SCS, 2RX</w:t>
      </w:r>
      <w:bookmarkEnd w:id="4"/>
    </w:p>
    <w:p w14:paraId="4F0C1898" w14:textId="707DAF17" w:rsidR="00E303E8" w:rsidRDefault="00E303E8" w:rsidP="00386A70">
      <w:pPr>
        <w:pStyle w:val="Proposal"/>
        <w:numPr>
          <w:ilvl w:val="0"/>
          <w:numId w:val="25"/>
        </w:numPr>
      </w:pPr>
      <w:bookmarkStart w:id="5" w:name="_Toc131967187"/>
      <w:r>
        <w:t>The scope of the requirements should be the same as for TDD 30Khz SCS; i.e. restricted to PDSCH type A (rank 1, 30% and 70% throughput), PDCCH (aggregation 2, 4 and 8), CQI AWGN and PMI/rank with TDLA30.</w:t>
      </w:r>
      <w:bookmarkEnd w:id="5"/>
    </w:p>
    <w:p w14:paraId="1BCC2A21" w14:textId="77777777" w:rsidR="00E303E8" w:rsidRDefault="00E303E8" w:rsidP="004038F9">
      <w:pPr>
        <w:pStyle w:val="Proposal"/>
        <w:numPr>
          <w:ilvl w:val="0"/>
          <w:numId w:val="0"/>
        </w:numPr>
        <w:ind w:left="1701" w:hanging="1701"/>
      </w:pPr>
    </w:p>
    <w:p w14:paraId="42BA786F" w14:textId="22371DFE" w:rsidR="004506C2" w:rsidRDefault="004506C2" w:rsidP="004506C2">
      <w:pPr>
        <w:pStyle w:val="Heading3"/>
      </w:pPr>
      <w:r>
        <w:t>2.2.2 PDSCH requirements</w:t>
      </w:r>
    </w:p>
    <w:p w14:paraId="259947B2" w14:textId="4AD5F5A1" w:rsidR="004038F9" w:rsidRDefault="004038F9" w:rsidP="00BC061E">
      <w:pPr>
        <w:pStyle w:val="Doc-text2"/>
        <w:ind w:left="0" w:firstLine="0"/>
      </w:pPr>
      <w:r>
        <w:t xml:space="preserve">For the additional FR1 PDSCH requirements, the 2RX and FDD 4RX requirements can be based on the existing </w:t>
      </w:r>
      <w:r w:rsidR="00C849E5">
        <w:t xml:space="preserve">UE </w:t>
      </w:r>
      <w:r>
        <w:t>requirements defined for TDLA30-10</w:t>
      </w:r>
      <w:r w:rsidR="007B46CA">
        <w:t xml:space="preserve"> for 70% throughput</w:t>
      </w:r>
      <w:r w:rsidR="00B72382">
        <w:t xml:space="preserve"> for 10MHz bandwidth</w:t>
      </w:r>
      <w:r w:rsidR="00C849E5">
        <w:t>, with simplified FRC</w:t>
      </w:r>
      <w:r w:rsidR="007B46CA">
        <w:t>.</w:t>
      </w:r>
    </w:p>
    <w:p w14:paraId="42758E2B" w14:textId="4CA2EFB8" w:rsidR="00C849E5" w:rsidRDefault="008031BE" w:rsidP="00C849E5">
      <w:pPr>
        <w:pStyle w:val="Proposal"/>
      </w:pPr>
      <w:bookmarkStart w:id="6" w:name="_Toc131967188"/>
      <w:r>
        <w:lastRenderedPageBreak/>
        <w:t xml:space="preserve">FDD 2RX and 4RX 70% throughput PDSCH requirements are </w:t>
      </w:r>
      <w:r w:rsidRPr="008031BE">
        <w:t>based on the existing UE requirements defined for TDLA30-10 for 70% throughput for 10MHz bandwidth, with simplified FRC.</w:t>
      </w:r>
      <w:bookmarkEnd w:id="6"/>
    </w:p>
    <w:p w14:paraId="53756B3E" w14:textId="731987D8" w:rsidR="00C849E5" w:rsidRDefault="00C849E5" w:rsidP="00BC061E">
      <w:pPr>
        <w:pStyle w:val="Doc-text2"/>
        <w:ind w:left="0" w:firstLine="0"/>
      </w:pPr>
      <w:r>
        <w:t>For the FR1 TDD PDSCH requirements with 2RX, requirements can be based on the existing UE requirements defined for TDLA30-10 for 70% throughput for 40MHz bandwidth, with simplified FRC.</w:t>
      </w:r>
    </w:p>
    <w:p w14:paraId="4BFA4498" w14:textId="77777777" w:rsidR="00BC061E" w:rsidRDefault="00BC061E" w:rsidP="00BC061E">
      <w:pPr>
        <w:pStyle w:val="Doc-text2"/>
        <w:ind w:left="0" w:firstLine="0"/>
      </w:pPr>
    </w:p>
    <w:p w14:paraId="0D90DC46" w14:textId="43BA5D3F" w:rsidR="008031BE" w:rsidRDefault="008031BE" w:rsidP="008031BE">
      <w:pPr>
        <w:pStyle w:val="Proposal"/>
      </w:pPr>
      <w:bookmarkStart w:id="7" w:name="_Toc131967189"/>
      <w:r>
        <w:t xml:space="preserve">TDD 2RX 70% throughput PDSCH requirements are </w:t>
      </w:r>
      <w:r w:rsidRPr="008031BE">
        <w:t xml:space="preserve">based on the existing UE requirements defined for TDLA30-10 for 70% throughput for </w:t>
      </w:r>
      <w:r w:rsidR="005E0E8F">
        <w:t>4</w:t>
      </w:r>
      <w:r w:rsidRPr="008031BE">
        <w:t>0MHz bandwidth, with simplified FRC.</w:t>
      </w:r>
      <w:bookmarkEnd w:id="7"/>
    </w:p>
    <w:p w14:paraId="4212E988" w14:textId="218FEEA9" w:rsidR="004506C2" w:rsidRDefault="001A1916" w:rsidP="00BC061E">
      <w:pPr>
        <w:pStyle w:val="Doc-text2"/>
        <w:ind w:left="0" w:firstLine="0"/>
      </w:pPr>
      <w:r>
        <w:t xml:space="preserve">Since the </w:t>
      </w:r>
      <w:r w:rsidR="00D771E5">
        <w:t>NCR-MT only carries control information, it may be sufficient to define requirements with 1 layer.</w:t>
      </w:r>
    </w:p>
    <w:p w14:paraId="2D809F15" w14:textId="77777777" w:rsidR="00BC061E" w:rsidRDefault="00BC061E" w:rsidP="00BC061E">
      <w:pPr>
        <w:pStyle w:val="Doc-text2"/>
        <w:ind w:left="0" w:firstLine="0"/>
      </w:pPr>
    </w:p>
    <w:p w14:paraId="50B06E19" w14:textId="6269D30B" w:rsidR="00D771E5" w:rsidRDefault="00D771E5" w:rsidP="00D771E5">
      <w:pPr>
        <w:pStyle w:val="Proposal"/>
      </w:pPr>
      <w:bookmarkStart w:id="8" w:name="_Toc131967190"/>
      <w:r>
        <w:t>Define PDSCH requirements with 1 layer</w:t>
      </w:r>
      <w:bookmarkEnd w:id="8"/>
    </w:p>
    <w:p w14:paraId="6C08904E" w14:textId="77777777" w:rsidR="00D771E5" w:rsidRDefault="00D771E5" w:rsidP="00D771E5">
      <w:pPr>
        <w:pStyle w:val="Proposal"/>
        <w:numPr>
          <w:ilvl w:val="0"/>
          <w:numId w:val="0"/>
        </w:numPr>
        <w:ind w:left="1701"/>
      </w:pPr>
    </w:p>
    <w:p w14:paraId="2BAA02B5" w14:textId="5F980DF4" w:rsidR="007B46CA" w:rsidRDefault="007B46CA" w:rsidP="00BC061E">
      <w:pPr>
        <w:pStyle w:val="Doc-text2"/>
        <w:ind w:left="0" w:firstLine="0"/>
      </w:pPr>
      <w:r>
        <w:t>For the rank 1 30% throughput requirement, a new requirement is needed for TDLA30</w:t>
      </w:r>
      <w:r w:rsidR="00C849E5">
        <w:t xml:space="preserve"> for each of FDD 2RX and 4RX and TDD 2RX</w:t>
      </w:r>
      <w:r>
        <w:t>. The same configuration</w:t>
      </w:r>
      <w:r w:rsidR="00C849E5">
        <w:t>s</w:t>
      </w:r>
      <w:r>
        <w:t xml:space="preserve"> and FRC can be used as for the UE requirement</w:t>
      </w:r>
      <w:r w:rsidR="00C849E5">
        <w:t>s</w:t>
      </w:r>
      <w:r>
        <w:t xml:space="preserve"> (the current UE requirement is based on TDLC300).</w:t>
      </w:r>
    </w:p>
    <w:p w14:paraId="5923D898" w14:textId="77777777" w:rsidR="00BC061E" w:rsidRDefault="00BC061E" w:rsidP="00BC061E">
      <w:pPr>
        <w:pStyle w:val="Doc-text2"/>
        <w:ind w:left="0" w:firstLine="0"/>
      </w:pPr>
    </w:p>
    <w:p w14:paraId="22AA64F0" w14:textId="02B851D0" w:rsidR="00C849E5" w:rsidRDefault="008031BE" w:rsidP="008031BE">
      <w:pPr>
        <w:pStyle w:val="Proposal"/>
      </w:pPr>
      <w:bookmarkStart w:id="9" w:name="_Toc131967191"/>
      <w:r>
        <w:t xml:space="preserve">FDD 2RX and 4RX and TDD 2RX requirements for 30% throughput are </w:t>
      </w:r>
      <w:r w:rsidRPr="008031BE">
        <w:t xml:space="preserve">based on the </w:t>
      </w:r>
      <w:r>
        <w:t xml:space="preserve">same FRC and configuration as the </w:t>
      </w:r>
      <w:r w:rsidRPr="008031BE">
        <w:t xml:space="preserve">existing UE requirements defined for </w:t>
      </w:r>
      <w:r>
        <w:t>TDLC300</w:t>
      </w:r>
      <w:r w:rsidRPr="008031BE">
        <w:t>, with simplified FRC</w:t>
      </w:r>
      <w:r>
        <w:t>, but are defined for TDLA30-10.</w:t>
      </w:r>
      <w:bookmarkEnd w:id="9"/>
    </w:p>
    <w:p w14:paraId="11EE3A91" w14:textId="3D9BA63D" w:rsidR="00572E20" w:rsidRDefault="00572E20" w:rsidP="00572E20">
      <w:pPr>
        <w:pStyle w:val="Observation"/>
      </w:pPr>
      <w:bookmarkStart w:id="10" w:name="_Toc131967199"/>
      <w:r>
        <w:t>Simulations are needed for FRR 2RX, 4RX and TDD 2RX PDSCH with 30% throughput</w:t>
      </w:r>
      <w:bookmarkEnd w:id="10"/>
    </w:p>
    <w:p w14:paraId="323E0678" w14:textId="77777777" w:rsidR="007B46CA" w:rsidRDefault="007B46CA" w:rsidP="004038F9">
      <w:pPr>
        <w:pStyle w:val="Proposal"/>
        <w:numPr>
          <w:ilvl w:val="0"/>
          <w:numId w:val="0"/>
        </w:numPr>
        <w:rPr>
          <w:b w:val="0"/>
          <w:bCs w:val="0"/>
        </w:rPr>
      </w:pPr>
    </w:p>
    <w:p w14:paraId="0C5EF2BC" w14:textId="3C9324C9" w:rsidR="00D771E5" w:rsidRDefault="00D771E5" w:rsidP="00D771E5">
      <w:pPr>
        <w:pStyle w:val="Heading3"/>
      </w:pPr>
      <w:r>
        <w:t>2.2.3 PDCCH requirements</w:t>
      </w:r>
    </w:p>
    <w:p w14:paraId="599454C1" w14:textId="2097E0D4" w:rsidR="00D771E5" w:rsidRDefault="00BC55A7" w:rsidP="00D771E5">
      <w:pPr>
        <w:rPr>
          <w:lang w:val="en-GB" w:eastAsia="ja-JP"/>
        </w:rPr>
      </w:pPr>
      <w:r w:rsidRPr="00BC55A7">
        <w:rPr>
          <w:lang w:val="en-GB" w:eastAsia="ja-JP"/>
        </w:rPr>
        <w:t>For the additional FR1 PD</w:t>
      </w:r>
      <w:r>
        <w:rPr>
          <w:lang w:val="en-GB" w:eastAsia="ja-JP"/>
        </w:rPr>
        <w:t>C</w:t>
      </w:r>
      <w:r w:rsidRPr="00BC55A7">
        <w:rPr>
          <w:lang w:val="en-GB" w:eastAsia="ja-JP"/>
        </w:rPr>
        <w:t>CH requirements, the 2RX and FDD 4RX requirements can be based on the existing UE requirements defined for TDLA30-10</w:t>
      </w:r>
      <w:r>
        <w:rPr>
          <w:lang w:val="en-GB" w:eastAsia="ja-JP"/>
        </w:rPr>
        <w:t>. To be consistent with the</w:t>
      </w:r>
      <w:r w:rsidR="00623A24">
        <w:rPr>
          <w:lang w:val="en-GB" w:eastAsia="ja-JP"/>
        </w:rPr>
        <w:t xml:space="preserve"> IAB-MT requirements, the requirements for 1TX with coreset duration 2 and aggregation levels 2 and 4 together with the requirement for 2TX with coreset duration 1 ad aggregation level 1 could be used.</w:t>
      </w:r>
    </w:p>
    <w:p w14:paraId="6FEC1AF2" w14:textId="3EB160EA" w:rsidR="00623A24" w:rsidRDefault="00623A24" w:rsidP="00623A24">
      <w:pPr>
        <w:pStyle w:val="Proposal"/>
        <w:rPr>
          <w:lang w:val="en-GB"/>
        </w:rPr>
      </w:pPr>
      <w:bookmarkStart w:id="11" w:name="_Toc131967192"/>
      <w:r>
        <w:rPr>
          <w:lang w:val="en-GB"/>
        </w:rPr>
        <w:t>For FDD PDCCH, use the UE requirements for 1TX/coreset duration 2/aggregation level 2 and 4 and 2TX/coreset duration 1/aggregation level 8 (channel TDLA30-10).</w:t>
      </w:r>
      <w:bookmarkEnd w:id="11"/>
    </w:p>
    <w:p w14:paraId="54AC49A5" w14:textId="54C24ADB" w:rsidR="00623A24" w:rsidRDefault="00623A24" w:rsidP="00623A24">
      <w:pPr>
        <w:pStyle w:val="Doc-text2"/>
        <w:ind w:left="0" w:firstLine="0"/>
        <w:rPr>
          <w:lang w:val="en-US"/>
        </w:rPr>
      </w:pPr>
      <w:r>
        <w:rPr>
          <w:lang w:val="en-US"/>
        </w:rPr>
        <w:t>For the TDD 2RX requirement, t</w:t>
      </w:r>
      <w:r w:rsidR="00611B6F">
        <w:rPr>
          <w:lang w:val="en-US"/>
        </w:rPr>
        <w:t>o align to the 4RX requirement, requirements should be included for 1TX</w:t>
      </w:r>
      <w:r w:rsidR="00F32BA0">
        <w:rPr>
          <w:lang w:val="en-US"/>
        </w:rPr>
        <w:t>, coreset duration 1 and aggregation level 2 and 4, and 2TX, coreset duration 1 and aggregation level 8. Note that 2 of the UE requirements are in the TDLC300 channel, and thus two simulations are needed.</w:t>
      </w:r>
    </w:p>
    <w:p w14:paraId="2EBB173D" w14:textId="77777777" w:rsidR="00F32BA0" w:rsidRDefault="00F32BA0" w:rsidP="00623A24">
      <w:pPr>
        <w:pStyle w:val="Doc-text2"/>
        <w:ind w:left="0" w:firstLine="0"/>
        <w:rPr>
          <w:lang w:val="en-US"/>
        </w:rPr>
      </w:pPr>
    </w:p>
    <w:p w14:paraId="74A34D47" w14:textId="5EDDF2F3" w:rsidR="00F32BA0" w:rsidRDefault="00F32BA0" w:rsidP="00F32BA0">
      <w:pPr>
        <w:pStyle w:val="Proposal"/>
        <w:rPr>
          <w:lang w:val="en-GB"/>
        </w:rPr>
      </w:pPr>
      <w:bookmarkStart w:id="12" w:name="_Toc131967193"/>
      <w:r>
        <w:rPr>
          <w:lang w:val="en-GB"/>
        </w:rPr>
        <w:t>For TDD PDCCH, use the UE requirements for 1TX/coreset duration 1/aggregation level 2 and 4 and 2TX/coreset duration 1/aggregation level 8 (channel TDLA30-10).</w:t>
      </w:r>
      <w:bookmarkEnd w:id="12"/>
    </w:p>
    <w:p w14:paraId="32DF1C5B" w14:textId="6D78E201" w:rsidR="00F32BA0" w:rsidRPr="00F32BA0" w:rsidRDefault="00F32BA0" w:rsidP="00F32BA0">
      <w:pPr>
        <w:pStyle w:val="Observation"/>
        <w:rPr>
          <w:lang w:val="en-GB"/>
        </w:rPr>
      </w:pPr>
      <w:bookmarkStart w:id="13" w:name="_Toc131967200"/>
      <w:r>
        <w:rPr>
          <w:lang w:val="en-GB"/>
        </w:rPr>
        <w:t>Two simulations are needed for TDD PDCCH, 2RX</w:t>
      </w:r>
      <w:bookmarkEnd w:id="13"/>
    </w:p>
    <w:p w14:paraId="78063AB5" w14:textId="77777777" w:rsidR="00A773BF" w:rsidRPr="00623A24" w:rsidRDefault="00A773BF" w:rsidP="00623A24">
      <w:pPr>
        <w:pStyle w:val="Doc-text2"/>
        <w:ind w:left="0" w:firstLine="0"/>
        <w:rPr>
          <w:lang w:val="en-US"/>
        </w:rPr>
      </w:pPr>
    </w:p>
    <w:p w14:paraId="08971BC3" w14:textId="14E3A906" w:rsidR="00572E20" w:rsidRDefault="00572E20" w:rsidP="00572E20">
      <w:pPr>
        <w:pStyle w:val="Heading3"/>
      </w:pPr>
      <w:r>
        <w:t>2.2.4 CSI reporting requirements</w:t>
      </w:r>
    </w:p>
    <w:p w14:paraId="58C9AFCD" w14:textId="6AB23454" w:rsidR="00DB5386" w:rsidRDefault="00DB5386" w:rsidP="00DB5386">
      <w:pPr>
        <w:rPr>
          <w:lang w:val="en-GB" w:eastAsia="ja-JP"/>
        </w:rPr>
      </w:pPr>
      <w:r>
        <w:rPr>
          <w:lang w:val="en-GB" w:eastAsia="ja-JP"/>
        </w:rPr>
        <w:t xml:space="preserve">The CQI requirement for IAB is defined for the static channel only. This is on the basis that </w:t>
      </w:r>
      <w:r w:rsidR="00393452">
        <w:rPr>
          <w:lang w:val="en-GB" w:eastAsia="ja-JP"/>
        </w:rPr>
        <w:t xml:space="preserve">the backhaul link is usually </w:t>
      </w:r>
      <w:proofErr w:type="spellStart"/>
      <w:r w:rsidR="00393452">
        <w:rPr>
          <w:lang w:val="en-GB" w:eastAsia="ja-JP"/>
        </w:rPr>
        <w:t>LoS</w:t>
      </w:r>
      <w:proofErr w:type="spellEnd"/>
      <w:r w:rsidR="00393452">
        <w:rPr>
          <w:lang w:val="en-GB" w:eastAsia="ja-JP"/>
        </w:rPr>
        <w:t xml:space="preserve"> and stable.</w:t>
      </w:r>
    </w:p>
    <w:p w14:paraId="3E60F43C" w14:textId="4A685B0F" w:rsidR="00393452" w:rsidRDefault="00393452" w:rsidP="00DB5386">
      <w:pPr>
        <w:rPr>
          <w:lang w:val="en-GB" w:eastAsia="ja-JP"/>
        </w:rPr>
      </w:pPr>
      <w:r>
        <w:rPr>
          <w:lang w:val="en-GB" w:eastAsia="ja-JP"/>
        </w:rPr>
        <w:t>For NCR-MT, following the same principle, the static channel CQI requirement defined for the UE can be used for FDD 2RX and 4RX and for TDD 2RX.</w:t>
      </w:r>
    </w:p>
    <w:p w14:paraId="01EB54C9" w14:textId="11D9AE37" w:rsidR="00393452" w:rsidRDefault="00393452" w:rsidP="00393452">
      <w:pPr>
        <w:pStyle w:val="Proposal"/>
        <w:rPr>
          <w:lang w:val="en-GB"/>
        </w:rPr>
      </w:pPr>
      <w:bookmarkStart w:id="14" w:name="_Toc131967194"/>
      <w:r>
        <w:rPr>
          <w:lang w:val="en-GB"/>
        </w:rPr>
        <w:t>Use the UE static channel CQI requirement for FDD 2RX/4RX and TDD 2RX requirements</w:t>
      </w:r>
      <w:r w:rsidR="001F7097">
        <w:rPr>
          <w:lang w:val="en-GB"/>
        </w:rPr>
        <w:t xml:space="preserve"> using CQI table 2</w:t>
      </w:r>
      <w:r>
        <w:rPr>
          <w:lang w:val="en-GB"/>
        </w:rPr>
        <w:t>.</w:t>
      </w:r>
      <w:bookmarkEnd w:id="14"/>
    </w:p>
    <w:p w14:paraId="30F40474" w14:textId="77777777" w:rsidR="00393452" w:rsidRDefault="00393452" w:rsidP="00393452">
      <w:pPr>
        <w:pStyle w:val="Doc-text2"/>
        <w:ind w:left="0" w:firstLine="0"/>
      </w:pPr>
    </w:p>
    <w:p w14:paraId="48768993" w14:textId="5D957048" w:rsidR="00393452" w:rsidRDefault="00F6382E" w:rsidP="00393452">
      <w:pPr>
        <w:pStyle w:val="Doc-text2"/>
        <w:ind w:left="0" w:firstLine="0"/>
        <w:rPr>
          <w:lang w:val="en-US"/>
        </w:rPr>
      </w:pPr>
      <w:r>
        <w:rPr>
          <w:lang w:val="en-US"/>
        </w:rPr>
        <w:lastRenderedPageBreak/>
        <w:t>The IAB-MT requirements for PMI reporting for TDD, 4RX are the same as the UE requirements for 4</w:t>
      </w:r>
      <w:r w:rsidR="005704AF">
        <w:rPr>
          <w:lang w:val="en-US"/>
        </w:rPr>
        <w:t xml:space="preserve">TX and 8TX, single </w:t>
      </w:r>
      <w:r w:rsidR="00BB7624">
        <w:rPr>
          <w:lang w:val="en-US"/>
        </w:rPr>
        <w:t>panel codebook. For consistency, we propose that the same UE requirements are used for FDD and for TDD 2RX.</w:t>
      </w:r>
    </w:p>
    <w:p w14:paraId="2CE77540" w14:textId="7405C5B2" w:rsidR="00BB7624" w:rsidRDefault="00BB7624" w:rsidP="00BB7624">
      <w:pPr>
        <w:pStyle w:val="Proposal"/>
      </w:pPr>
      <w:bookmarkStart w:id="15" w:name="_Toc131967195"/>
      <w:r>
        <w:t>For PMI reporting, adopt the UE requirements for 4TX and 8TX single panel codebook for all FDD and TDD cases.</w:t>
      </w:r>
      <w:bookmarkEnd w:id="15"/>
    </w:p>
    <w:p w14:paraId="2E74E94C" w14:textId="77777777" w:rsidR="00BB7624" w:rsidRDefault="00BB7624" w:rsidP="00BB7624">
      <w:pPr>
        <w:pStyle w:val="Doc-text2"/>
        <w:ind w:left="0" w:firstLine="0"/>
      </w:pPr>
    </w:p>
    <w:p w14:paraId="13C953CE" w14:textId="6961D5C1" w:rsidR="00BB7624" w:rsidRDefault="00735F3D" w:rsidP="00BB7624">
      <w:pPr>
        <w:pStyle w:val="Doc-text2"/>
        <w:ind w:left="0" w:firstLine="0"/>
        <w:rPr>
          <w:lang w:val="en-US"/>
        </w:rPr>
      </w:pPr>
      <w:r>
        <w:rPr>
          <w:lang w:val="en-US"/>
        </w:rPr>
        <w:t xml:space="preserve">For the rank indication, </w:t>
      </w:r>
      <w:r w:rsidR="00BC061E">
        <w:rPr>
          <w:lang w:val="en-US"/>
        </w:rPr>
        <w:t>the TDD 4RX requirement is the same as the UE requirement. For the other FDD and TDD cases, the UE requirement can be copied.</w:t>
      </w:r>
    </w:p>
    <w:p w14:paraId="14A976E5" w14:textId="77777777" w:rsidR="00BC061E" w:rsidRDefault="00BC061E" w:rsidP="00BB7624">
      <w:pPr>
        <w:pStyle w:val="Doc-text2"/>
        <w:ind w:left="0" w:firstLine="0"/>
        <w:rPr>
          <w:lang w:val="en-US"/>
        </w:rPr>
      </w:pPr>
    </w:p>
    <w:p w14:paraId="56ADB865" w14:textId="12FD3E08" w:rsidR="00BC061E" w:rsidRDefault="00BC061E" w:rsidP="00BC061E">
      <w:pPr>
        <w:pStyle w:val="Proposal"/>
      </w:pPr>
      <w:bookmarkStart w:id="16" w:name="_Toc131967196"/>
      <w:r>
        <w:t>For RI, for FDD and 2RX TDD, copy the UE requirement.</w:t>
      </w:r>
      <w:bookmarkEnd w:id="16"/>
    </w:p>
    <w:p w14:paraId="4077FC93" w14:textId="77777777" w:rsidR="00BC061E" w:rsidRPr="00735F3D" w:rsidRDefault="00BC061E" w:rsidP="00BB7624">
      <w:pPr>
        <w:pStyle w:val="Doc-text2"/>
        <w:ind w:left="0" w:firstLine="0"/>
        <w:rPr>
          <w:lang w:val="en-US"/>
        </w:rPr>
      </w:pPr>
    </w:p>
    <w:p w14:paraId="1963DDAC" w14:textId="4659241B" w:rsidR="00F63950" w:rsidRDefault="00230D18" w:rsidP="00F63950">
      <w:pPr>
        <w:pStyle w:val="Heading2"/>
      </w:pPr>
      <w:r>
        <w:t>2.3</w:t>
      </w:r>
      <w:r>
        <w:tab/>
      </w:r>
      <w:r w:rsidR="00BC061E">
        <w:t>NCR-MT requirements for FR2</w:t>
      </w:r>
    </w:p>
    <w:p w14:paraId="2D684384" w14:textId="37B31419" w:rsidR="00BC061E" w:rsidRDefault="00BC061E" w:rsidP="00A04F49">
      <w:pPr>
        <w:pStyle w:val="BodyText"/>
      </w:pPr>
      <w:r>
        <w:t>Unlike FR1, there are not any additional subcarrier spacing or duplex mode options for FR2 for NCR compared to IAB-MT. In principle, the IAB-MT requirements can be copied. Since the NCR-MT is for control only, the rank 2 PDSCH requirements could be omitted.</w:t>
      </w:r>
    </w:p>
    <w:p w14:paraId="6194D2A3" w14:textId="52C54332" w:rsidR="00BC061E" w:rsidRDefault="00BC061E" w:rsidP="00BC061E">
      <w:pPr>
        <w:pStyle w:val="Proposal"/>
      </w:pPr>
      <w:bookmarkStart w:id="17" w:name="_Toc131967197"/>
      <w:r>
        <w:t>For FR2, copy the IAB-MT requirements for NCR-MT demodulation</w:t>
      </w:r>
      <w:bookmarkEnd w:id="17"/>
    </w:p>
    <w:p w14:paraId="12669036" w14:textId="4A40525C" w:rsidR="00BC061E" w:rsidRDefault="00BC061E" w:rsidP="00BC061E">
      <w:pPr>
        <w:pStyle w:val="Proposal"/>
      </w:pPr>
      <w:bookmarkStart w:id="18" w:name="_Toc131967198"/>
      <w:r>
        <w:t>For FR2, omit the FR2 rank 2 PDSCH requirements</w:t>
      </w:r>
      <w:bookmarkEnd w:id="18"/>
    </w:p>
    <w:p w14:paraId="3879E8F8" w14:textId="77777777" w:rsidR="00C473A5" w:rsidRDefault="00C473A5" w:rsidP="00CE0424">
      <w:pPr>
        <w:pStyle w:val="Heading1"/>
        <w:sectPr w:rsidR="00C473A5" w:rsidSect="00BC061E">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A3D11C" w14:textId="56A877A7" w:rsidR="00BE7811"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967199" w:history="1">
        <w:r w:rsidR="00BE7811" w:rsidRPr="00A15ED3">
          <w:rPr>
            <w:rStyle w:val="Hyperlink"/>
            <w:noProof/>
          </w:rPr>
          <w:t>Observation 1</w:t>
        </w:r>
        <w:r w:rsidR="00BE7811">
          <w:rPr>
            <w:rFonts w:asciiTheme="minorHAnsi" w:eastAsiaTheme="minorEastAsia" w:hAnsiTheme="minorHAnsi"/>
            <w:b w:val="0"/>
            <w:noProof/>
            <w:sz w:val="22"/>
            <w:lang w:val="en-SE" w:eastAsia="en-SE"/>
          </w:rPr>
          <w:tab/>
        </w:r>
        <w:r w:rsidR="00BE7811" w:rsidRPr="00A15ED3">
          <w:rPr>
            <w:rStyle w:val="Hyperlink"/>
            <w:noProof/>
          </w:rPr>
          <w:t>Simulations are needed for FRR 2RX, 4RX and TDD 2RX PDSCH with 30% throughput</w:t>
        </w:r>
      </w:hyperlink>
    </w:p>
    <w:p w14:paraId="5E99ECA5" w14:textId="4E5C4CB2"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200" w:history="1">
        <w:r w:rsidRPr="00A15ED3">
          <w:rPr>
            <w:rStyle w:val="Hyperlink"/>
            <w:noProof/>
            <w:lang w:val="en-GB"/>
          </w:rPr>
          <w:t>Observation 2</w:t>
        </w:r>
        <w:r>
          <w:rPr>
            <w:rFonts w:asciiTheme="minorHAnsi" w:eastAsiaTheme="minorEastAsia" w:hAnsiTheme="minorHAnsi"/>
            <w:b w:val="0"/>
            <w:noProof/>
            <w:sz w:val="22"/>
            <w:lang w:val="en-SE" w:eastAsia="en-SE"/>
          </w:rPr>
          <w:tab/>
        </w:r>
        <w:r w:rsidRPr="00A15ED3">
          <w:rPr>
            <w:rStyle w:val="Hyperlink"/>
            <w:noProof/>
            <w:lang w:val="en-GB"/>
          </w:rPr>
          <w:t>Two simulations are needed for TDD PDCCH, 2RX</w:t>
        </w:r>
      </w:hyperlink>
    </w:p>
    <w:p w14:paraId="5F69EC0F" w14:textId="52186F1A"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751CCD" w14:textId="24BAEED7" w:rsidR="00BE7811"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1967183" w:history="1">
        <w:r w:rsidR="00BE7811" w:rsidRPr="00914715">
          <w:rPr>
            <w:rStyle w:val="Hyperlink"/>
            <w:noProof/>
          </w:rPr>
          <w:t>Proposal 1</w:t>
        </w:r>
        <w:r w:rsidR="00BE7811">
          <w:rPr>
            <w:rFonts w:asciiTheme="minorHAnsi" w:eastAsiaTheme="minorEastAsia" w:hAnsiTheme="minorHAnsi"/>
            <w:b w:val="0"/>
            <w:noProof/>
            <w:sz w:val="22"/>
            <w:lang w:val="en-SE" w:eastAsia="en-SE"/>
          </w:rPr>
          <w:tab/>
        </w:r>
        <w:r w:rsidR="00BE7811" w:rsidRPr="00914715">
          <w:rPr>
            <w:rStyle w:val="Hyperlink"/>
            <w:noProof/>
          </w:rPr>
          <w:t>For FR1, TDD and 30kHz SCS, copy the IAB-MT requirements apart from the requirements for PDSCH, 2, 3 and 4 layer.</w:t>
        </w:r>
      </w:hyperlink>
    </w:p>
    <w:p w14:paraId="50DEB445" w14:textId="126964EE"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84" w:history="1">
        <w:r w:rsidRPr="00914715">
          <w:rPr>
            <w:rStyle w:val="Hyperlink"/>
            <w:noProof/>
          </w:rPr>
          <w:t>Proposal 2</w:t>
        </w:r>
        <w:r>
          <w:rPr>
            <w:rFonts w:asciiTheme="minorHAnsi" w:eastAsiaTheme="minorEastAsia" w:hAnsiTheme="minorHAnsi"/>
            <w:b w:val="0"/>
            <w:noProof/>
            <w:sz w:val="22"/>
            <w:lang w:val="en-SE" w:eastAsia="en-SE"/>
          </w:rPr>
          <w:tab/>
        </w:r>
        <w:r w:rsidRPr="00914715">
          <w:rPr>
            <w:rStyle w:val="Hyperlink"/>
            <w:noProof/>
          </w:rPr>
          <w:t>For FR1, add requirements for the following:</w:t>
        </w:r>
      </w:hyperlink>
    </w:p>
    <w:p w14:paraId="0AB6A611" w14:textId="0A23EA5A"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85" w:history="1">
        <w:r w:rsidRPr="00914715">
          <w:rPr>
            <w:rStyle w:val="Hyperlink"/>
            <w:rFonts w:ascii="Symbol" w:hAnsi="Symbol"/>
            <w:noProof/>
          </w:rPr>
          <w:t></w:t>
        </w:r>
        <w:r>
          <w:rPr>
            <w:rFonts w:asciiTheme="minorHAnsi" w:eastAsiaTheme="minorEastAsia" w:hAnsiTheme="minorHAnsi"/>
            <w:b w:val="0"/>
            <w:noProof/>
            <w:sz w:val="22"/>
            <w:lang w:val="en-SE" w:eastAsia="en-SE"/>
          </w:rPr>
          <w:tab/>
        </w:r>
        <w:r w:rsidRPr="00914715">
          <w:rPr>
            <w:rStyle w:val="Hyperlink"/>
            <w:noProof/>
          </w:rPr>
          <w:t>FDD, 15kHz SCS, 2RX and 4RX</w:t>
        </w:r>
      </w:hyperlink>
    </w:p>
    <w:p w14:paraId="1C0D9C57" w14:textId="6923F734"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86" w:history="1">
        <w:r w:rsidRPr="00914715">
          <w:rPr>
            <w:rStyle w:val="Hyperlink"/>
            <w:rFonts w:ascii="Symbol" w:hAnsi="Symbol"/>
            <w:noProof/>
          </w:rPr>
          <w:t></w:t>
        </w:r>
        <w:r>
          <w:rPr>
            <w:rFonts w:asciiTheme="minorHAnsi" w:eastAsiaTheme="minorEastAsia" w:hAnsiTheme="minorHAnsi"/>
            <w:b w:val="0"/>
            <w:noProof/>
            <w:sz w:val="22"/>
            <w:lang w:val="en-SE" w:eastAsia="en-SE"/>
          </w:rPr>
          <w:tab/>
        </w:r>
        <w:r w:rsidRPr="00914715">
          <w:rPr>
            <w:rStyle w:val="Hyperlink"/>
            <w:noProof/>
          </w:rPr>
          <w:t>TDD, 30kHz SCS, 2RX</w:t>
        </w:r>
      </w:hyperlink>
    </w:p>
    <w:p w14:paraId="513377FE" w14:textId="67A38311"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87" w:history="1">
        <w:r w:rsidRPr="00914715">
          <w:rPr>
            <w:rStyle w:val="Hyperlink"/>
            <w:rFonts w:ascii="Symbol" w:hAnsi="Symbol"/>
            <w:noProof/>
          </w:rPr>
          <w:t></w:t>
        </w:r>
        <w:r>
          <w:rPr>
            <w:rFonts w:asciiTheme="minorHAnsi" w:eastAsiaTheme="minorEastAsia" w:hAnsiTheme="minorHAnsi"/>
            <w:b w:val="0"/>
            <w:noProof/>
            <w:sz w:val="22"/>
            <w:lang w:val="en-SE" w:eastAsia="en-SE"/>
          </w:rPr>
          <w:tab/>
        </w:r>
        <w:r w:rsidRPr="00914715">
          <w:rPr>
            <w:rStyle w:val="Hyperlink"/>
            <w:noProof/>
          </w:rPr>
          <w:t>The scope of the requirements should be the same as for TDD 30Khz SCS; i.e. restricted to PDSCH type A (rank 1, 30% and 70% throughput), PDCCH (aggregation 2, 4 and 8), CQI AWGN and PMI/rank with TDLA30.</w:t>
        </w:r>
      </w:hyperlink>
    </w:p>
    <w:p w14:paraId="3E8F2291" w14:textId="0F663729"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88" w:history="1">
        <w:r w:rsidRPr="00914715">
          <w:rPr>
            <w:rStyle w:val="Hyperlink"/>
            <w:noProof/>
          </w:rPr>
          <w:t>Proposal 3</w:t>
        </w:r>
        <w:r>
          <w:rPr>
            <w:rFonts w:asciiTheme="minorHAnsi" w:eastAsiaTheme="minorEastAsia" w:hAnsiTheme="minorHAnsi"/>
            <w:b w:val="0"/>
            <w:noProof/>
            <w:sz w:val="22"/>
            <w:lang w:val="en-SE" w:eastAsia="en-SE"/>
          </w:rPr>
          <w:tab/>
        </w:r>
        <w:r w:rsidRPr="00914715">
          <w:rPr>
            <w:rStyle w:val="Hyperlink"/>
            <w:noProof/>
          </w:rPr>
          <w:t>FDD 2RX and 4RX 70% throughput PDSCH requirements are based on the existing UE requirements defined for TDLA30-10 for 70% throughput for 10MHz bandwidth, with simplified FRC.</w:t>
        </w:r>
      </w:hyperlink>
    </w:p>
    <w:p w14:paraId="142DDF9B" w14:textId="53727A19"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89" w:history="1">
        <w:r w:rsidRPr="00914715">
          <w:rPr>
            <w:rStyle w:val="Hyperlink"/>
            <w:noProof/>
          </w:rPr>
          <w:t>Proposal 4</w:t>
        </w:r>
        <w:r>
          <w:rPr>
            <w:rFonts w:asciiTheme="minorHAnsi" w:eastAsiaTheme="minorEastAsia" w:hAnsiTheme="minorHAnsi"/>
            <w:b w:val="0"/>
            <w:noProof/>
            <w:sz w:val="22"/>
            <w:lang w:val="en-SE" w:eastAsia="en-SE"/>
          </w:rPr>
          <w:tab/>
        </w:r>
        <w:r w:rsidRPr="00914715">
          <w:rPr>
            <w:rStyle w:val="Hyperlink"/>
            <w:noProof/>
          </w:rPr>
          <w:t>TDD 2RX 70% throughput PDSCH requirements are based on the existing UE requirements defined for TDLA30-10 for 70% throughput for 40MHz bandwidth, with simplified FRC.</w:t>
        </w:r>
      </w:hyperlink>
    </w:p>
    <w:p w14:paraId="3EE8095C" w14:textId="7622ACBF"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90" w:history="1">
        <w:r w:rsidRPr="00914715">
          <w:rPr>
            <w:rStyle w:val="Hyperlink"/>
            <w:noProof/>
          </w:rPr>
          <w:t>Proposal 5</w:t>
        </w:r>
        <w:r>
          <w:rPr>
            <w:rFonts w:asciiTheme="minorHAnsi" w:eastAsiaTheme="minorEastAsia" w:hAnsiTheme="minorHAnsi"/>
            <w:b w:val="0"/>
            <w:noProof/>
            <w:sz w:val="22"/>
            <w:lang w:val="en-SE" w:eastAsia="en-SE"/>
          </w:rPr>
          <w:tab/>
        </w:r>
        <w:r w:rsidRPr="00914715">
          <w:rPr>
            <w:rStyle w:val="Hyperlink"/>
            <w:noProof/>
          </w:rPr>
          <w:t>Define PDSCH requirements with 1 layer</w:t>
        </w:r>
      </w:hyperlink>
    </w:p>
    <w:p w14:paraId="66BBF645" w14:textId="55C37995"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91" w:history="1">
        <w:r w:rsidRPr="00914715">
          <w:rPr>
            <w:rStyle w:val="Hyperlink"/>
            <w:noProof/>
          </w:rPr>
          <w:t>Proposal 6</w:t>
        </w:r>
        <w:r>
          <w:rPr>
            <w:rFonts w:asciiTheme="minorHAnsi" w:eastAsiaTheme="minorEastAsia" w:hAnsiTheme="minorHAnsi"/>
            <w:b w:val="0"/>
            <w:noProof/>
            <w:sz w:val="22"/>
            <w:lang w:val="en-SE" w:eastAsia="en-SE"/>
          </w:rPr>
          <w:tab/>
        </w:r>
        <w:r w:rsidRPr="00914715">
          <w:rPr>
            <w:rStyle w:val="Hyperlink"/>
            <w:noProof/>
          </w:rPr>
          <w:t>FDD 2RX and 4RX and TDD 2RX requirements for 30% throughput are based on the same FRC and configuration as the existing UE requirements defined for TDLC300, with simplified FRC, but are defined for TDLA30-10.</w:t>
        </w:r>
      </w:hyperlink>
    </w:p>
    <w:p w14:paraId="53E3ABD4" w14:textId="20649404"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92" w:history="1">
        <w:r w:rsidRPr="00914715">
          <w:rPr>
            <w:rStyle w:val="Hyperlink"/>
            <w:noProof/>
            <w:lang w:val="en-GB"/>
          </w:rPr>
          <w:t>Proposal 7</w:t>
        </w:r>
        <w:r>
          <w:rPr>
            <w:rFonts w:asciiTheme="minorHAnsi" w:eastAsiaTheme="minorEastAsia" w:hAnsiTheme="minorHAnsi"/>
            <w:b w:val="0"/>
            <w:noProof/>
            <w:sz w:val="22"/>
            <w:lang w:val="en-SE" w:eastAsia="en-SE"/>
          </w:rPr>
          <w:tab/>
        </w:r>
        <w:r w:rsidRPr="00914715">
          <w:rPr>
            <w:rStyle w:val="Hyperlink"/>
            <w:noProof/>
            <w:lang w:val="en-GB"/>
          </w:rPr>
          <w:t>For FDD PDCCH, use the UE requirements for 1TX/coreset duration 2/aggregation level 2 and 4 and 2TX/coreset duration 1/aggregation level 8 (channel TDLA30-10).</w:t>
        </w:r>
      </w:hyperlink>
    </w:p>
    <w:p w14:paraId="6043BA08" w14:textId="04416F5F"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93" w:history="1">
        <w:r w:rsidRPr="00914715">
          <w:rPr>
            <w:rStyle w:val="Hyperlink"/>
            <w:noProof/>
            <w:lang w:val="en-GB"/>
          </w:rPr>
          <w:t>Proposal 8</w:t>
        </w:r>
        <w:r>
          <w:rPr>
            <w:rFonts w:asciiTheme="minorHAnsi" w:eastAsiaTheme="minorEastAsia" w:hAnsiTheme="minorHAnsi"/>
            <w:b w:val="0"/>
            <w:noProof/>
            <w:sz w:val="22"/>
            <w:lang w:val="en-SE" w:eastAsia="en-SE"/>
          </w:rPr>
          <w:tab/>
        </w:r>
        <w:r w:rsidRPr="00914715">
          <w:rPr>
            <w:rStyle w:val="Hyperlink"/>
            <w:noProof/>
            <w:lang w:val="en-GB"/>
          </w:rPr>
          <w:t>For TDD PDCCH, use the UE requirements for 1TX/coreset duration 1/aggregation level 2 and 4 and 2TX/coreset duration 1/aggregation level 8 (channel TDLA30-10).</w:t>
        </w:r>
      </w:hyperlink>
    </w:p>
    <w:p w14:paraId="2144B2D4" w14:textId="68E8AB2D"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94" w:history="1">
        <w:r w:rsidRPr="00914715">
          <w:rPr>
            <w:rStyle w:val="Hyperlink"/>
            <w:noProof/>
            <w:lang w:val="en-GB"/>
          </w:rPr>
          <w:t>Proposal 9</w:t>
        </w:r>
        <w:r>
          <w:rPr>
            <w:rFonts w:asciiTheme="minorHAnsi" w:eastAsiaTheme="minorEastAsia" w:hAnsiTheme="minorHAnsi"/>
            <w:b w:val="0"/>
            <w:noProof/>
            <w:sz w:val="22"/>
            <w:lang w:val="en-SE" w:eastAsia="en-SE"/>
          </w:rPr>
          <w:tab/>
        </w:r>
        <w:r w:rsidRPr="00914715">
          <w:rPr>
            <w:rStyle w:val="Hyperlink"/>
            <w:noProof/>
            <w:lang w:val="en-GB"/>
          </w:rPr>
          <w:t>Use the UE static channel CQI requirement for FDD 2RX/4RX and TDD 2RX requirements using CQI table 2.</w:t>
        </w:r>
      </w:hyperlink>
    </w:p>
    <w:p w14:paraId="638D3466" w14:textId="1904E0AF"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95" w:history="1">
        <w:r w:rsidRPr="00914715">
          <w:rPr>
            <w:rStyle w:val="Hyperlink"/>
            <w:noProof/>
          </w:rPr>
          <w:t>Proposal 10</w:t>
        </w:r>
        <w:r>
          <w:rPr>
            <w:rFonts w:asciiTheme="minorHAnsi" w:eastAsiaTheme="minorEastAsia" w:hAnsiTheme="minorHAnsi"/>
            <w:b w:val="0"/>
            <w:noProof/>
            <w:sz w:val="22"/>
            <w:lang w:val="en-SE" w:eastAsia="en-SE"/>
          </w:rPr>
          <w:tab/>
        </w:r>
        <w:r w:rsidRPr="00914715">
          <w:rPr>
            <w:rStyle w:val="Hyperlink"/>
            <w:noProof/>
          </w:rPr>
          <w:t>For PMI reporting, adopt the UE requirements for 4TX and 8TX single panel codebook for all FDD and TDD cases.</w:t>
        </w:r>
      </w:hyperlink>
    </w:p>
    <w:p w14:paraId="3B200E89" w14:textId="1D5E1FDB"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96" w:history="1">
        <w:r w:rsidRPr="00914715">
          <w:rPr>
            <w:rStyle w:val="Hyperlink"/>
            <w:noProof/>
          </w:rPr>
          <w:t>Proposal 11</w:t>
        </w:r>
        <w:r>
          <w:rPr>
            <w:rFonts w:asciiTheme="minorHAnsi" w:eastAsiaTheme="minorEastAsia" w:hAnsiTheme="minorHAnsi"/>
            <w:b w:val="0"/>
            <w:noProof/>
            <w:sz w:val="22"/>
            <w:lang w:val="en-SE" w:eastAsia="en-SE"/>
          </w:rPr>
          <w:tab/>
        </w:r>
        <w:r w:rsidRPr="00914715">
          <w:rPr>
            <w:rStyle w:val="Hyperlink"/>
            <w:noProof/>
          </w:rPr>
          <w:t>For RI, for FDD and 2RX TDD, copy the UE requirement.</w:t>
        </w:r>
      </w:hyperlink>
    </w:p>
    <w:p w14:paraId="57DA83AC" w14:textId="694CD0DF"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97" w:history="1">
        <w:r w:rsidRPr="00914715">
          <w:rPr>
            <w:rStyle w:val="Hyperlink"/>
            <w:noProof/>
          </w:rPr>
          <w:t>Proposal 12</w:t>
        </w:r>
        <w:r>
          <w:rPr>
            <w:rFonts w:asciiTheme="minorHAnsi" w:eastAsiaTheme="minorEastAsia" w:hAnsiTheme="minorHAnsi"/>
            <w:b w:val="0"/>
            <w:noProof/>
            <w:sz w:val="22"/>
            <w:lang w:val="en-SE" w:eastAsia="en-SE"/>
          </w:rPr>
          <w:tab/>
        </w:r>
        <w:r w:rsidRPr="00914715">
          <w:rPr>
            <w:rStyle w:val="Hyperlink"/>
            <w:noProof/>
          </w:rPr>
          <w:t>For FR2, copy the IAB-MT requirements for NCR-MT demodulation</w:t>
        </w:r>
      </w:hyperlink>
    </w:p>
    <w:p w14:paraId="74FA3885" w14:textId="6D802F05" w:rsidR="00BE7811" w:rsidRDefault="00BE7811">
      <w:pPr>
        <w:pStyle w:val="TableofFigures"/>
        <w:tabs>
          <w:tab w:val="right" w:leader="dot" w:pos="9629"/>
        </w:tabs>
        <w:rPr>
          <w:rFonts w:asciiTheme="minorHAnsi" w:eastAsiaTheme="minorEastAsia" w:hAnsiTheme="minorHAnsi"/>
          <w:b w:val="0"/>
          <w:noProof/>
          <w:sz w:val="22"/>
          <w:lang w:val="en-SE" w:eastAsia="en-SE"/>
        </w:rPr>
      </w:pPr>
      <w:hyperlink w:anchor="_Toc131967198" w:history="1">
        <w:r w:rsidRPr="00914715">
          <w:rPr>
            <w:rStyle w:val="Hyperlink"/>
            <w:noProof/>
          </w:rPr>
          <w:t>Proposal 13</w:t>
        </w:r>
        <w:r>
          <w:rPr>
            <w:rFonts w:asciiTheme="minorHAnsi" w:eastAsiaTheme="minorEastAsia" w:hAnsiTheme="minorHAnsi"/>
            <w:b w:val="0"/>
            <w:noProof/>
            <w:sz w:val="22"/>
            <w:lang w:val="en-SE" w:eastAsia="en-SE"/>
          </w:rPr>
          <w:tab/>
        </w:r>
        <w:r w:rsidRPr="00914715">
          <w:rPr>
            <w:rStyle w:val="Hyperlink"/>
            <w:noProof/>
          </w:rPr>
          <w:t>For FR2, omit the FR2 rank 2 PDSCH requirements</w:t>
        </w:r>
      </w:hyperlink>
    </w:p>
    <w:p w14:paraId="715CA09B" w14:textId="3E573AC1" w:rsidR="003A7EF3" w:rsidRPr="00BE7811" w:rsidRDefault="006E1C82" w:rsidP="00CE0424">
      <w:pPr>
        <w:pStyle w:val="BodyText"/>
        <w:rPr>
          <w:b/>
          <w:bCs/>
        </w:rPr>
      </w:pPr>
      <w:r>
        <w:rPr>
          <w:b/>
          <w:bCs/>
        </w:rPr>
        <w:fldChar w:fldCharType="end"/>
      </w:r>
      <w:r w:rsidRPr="00CE0424">
        <w:rPr>
          <w:b/>
          <w:bCs/>
        </w:rPr>
        <w:t xml:space="preserve"> </w:t>
      </w:r>
    </w:p>
    <w:sectPr w:rsidR="003A7EF3" w:rsidRPr="00BE781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AA65A" w14:textId="77777777" w:rsidR="00F55DFA" w:rsidRDefault="00F55DFA">
      <w:r>
        <w:separator/>
      </w:r>
    </w:p>
  </w:endnote>
  <w:endnote w:type="continuationSeparator" w:id="0">
    <w:p w14:paraId="75999D9B" w14:textId="77777777" w:rsidR="00F55DFA" w:rsidRDefault="00F55DFA">
      <w:r>
        <w:continuationSeparator/>
      </w:r>
    </w:p>
  </w:endnote>
  <w:endnote w:type="continuationNotice" w:id="1">
    <w:p w14:paraId="360F50EE" w14:textId="77777777" w:rsidR="00F55DFA" w:rsidRDefault="00F55D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B7B8A" w14:textId="77777777" w:rsidR="00F55DFA" w:rsidRDefault="00F55DFA">
      <w:r>
        <w:separator/>
      </w:r>
    </w:p>
  </w:footnote>
  <w:footnote w:type="continuationSeparator" w:id="0">
    <w:p w14:paraId="4C56017A" w14:textId="77777777" w:rsidR="00F55DFA" w:rsidRDefault="00F55DFA">
      <w:r>
        <w:continuationSeparator/>
      </w:r>
    </w:p>
  </w:footnote>
  <w:footnote w:type="continuationNotice" w:id="1">
    <w:p w14:paraId="44BD1685" w14:textId="77777777" w:rsidR="00F55DFA" w:rsidRDefault="00F55D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D2E9A"/>
    <w:multiLevelType w:val="hybridMultilevel"/>
    <w:tmpl w:val="05722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942ADD"/>
    <w:multiLevelType w:val="hybridMultilevel"/>
    <w:tmpl w:val="465ED47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6D71F2"/>
    <w:multiLevelType w:val="hybridMultilevel"/>
    <w:tmpl w:val="444A497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1C7EA2"/>
    <w:multiLevelType w:val="hybridMultilevel"/>
    <w:tmpl w:val="CEAACC4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51747A"/>
    <w:multiLevelType w:val="hybridMultilevel"/>
    <w:tmpl w:val="708AE4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9C1449"/>
    <w:multiLevelType w:val="hybridMultilevel"/>
    <w:tmpl w:val="E934F3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BFB7B0A"/>
    <w:multiLevelType w:val="hybridMultilevel"/>
    <w:tmpl w:val="EB4C4D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4141EE3"/>
    <w:multiLevelType w:val="hybridMultilevel"/>
    <w:tmpl w:val="2E5A88D2"/>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9"/>
  </w:num>
  <w:num w:numId="3" w16cid:durableId="1922837493">
    <w:abstractNumId w:val="13"/>
  </w:num>
  <w:num w:numId="4" w16cid:durableId="266620704">
    <w:abstractNumId w:val="14"/>
  </w:num>
  <w:num w:numId="5" w16cid:durableId="980957859">
    <w:abstractNumId w:val="9"/>
  </w:num>
  <w:num w:numId="6" w16cid:durableId="1130905483">
    <w:abstractNumId w:val="17"/>
  </w:num>
  <w:num w:numId="7" w16cid:durableId="1818380057">
    <w:abstractNumId w:val="24"/>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20"/>
  </w:num>
  <w:num w:numId="14" w16cid:durableId="826438824">
    <w:abstractNumId w:val="21"/>
  </w:num>
  <w:num w:numId="15" w16cid:durableId="689725159">
    <w:abstractNumId w:val="16"/>
  </w:num>
  <w:num w:numId="16" w16cid:durableId="10954744">
    <w:abstractNumId w:val="25"/>
  </w:num>
  <w:num w:numId="17" w16cid:durableId="183830960">
    <w:abstractNumId w:val="5"/>
  </w:num>
  <w:num w:numId="18" w16cid:durableId="1606114056">
    <w:abstractNumId w:val="6"/>
  </w:num>
  <w:num w:numId="19" w16cid:durableId="2129543684">
    <w:abstractNumId w:val="4"/>
  </w:num>
  <w:num w:numId="20" w16cid:durableId="1458717335">
    <w:abstractNumId w:val="29"/>
  </w:num>
  <w:num w:numId="21" w16cid:durableId="1670518138">
    <w:abstractNumId w:val="11"/>
  </w:num>
  <w:num w:numId="22" w16cid:durableId="350379046">
    <w:abstractNumId w:val="28"/>
  </w:num>
  <w:num w:numId="23" w16cid:durableId="1635060294">
    <w:abstractNumId w:val="26"/>
  </w:num>
  <w:num w:numId="24" w16cid:durableId="302196031">
    <w:abstractNumId w:val="7"/>
  </w:num>
  <w:num w:numId="25" w16cid:durableId="1174615304">
    <w:abstractNumId w:val="12"/>
  </w:num>
  <w:num w:numId="26" w16cid:durableId="1617760562">
    <w:abstractNumId w:val="23"/>
  </w:num>
  <w:num w:numId="27" w16cid:durableId="565069290">
    <w:abstractNumId w:val="27"/>
  </w:num>
  <w:num w:numId="28" w16cid:durableId="2062173136">
    <w:abstractNumId w:val="22"/>
  </w:num>
  <w:num w:numId="29" w16cid:durableId="1290354716">
    <w:abstractNumId w:val="15"/>
  </w:num>
  <w:num w:numId="30" w16cid:durableId="33406645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A2F"/>
    <w:rsid w:val="000C165A"/>
    <w:rsid w:val="000C2E19"/>
    <w:rsid w:val="000D0D07"/>
    <w:rsid w:val="000D4797"/>
    <w:rsid w:val="000E0527"/>
    <w:rsid w:val="000E1E92"/>
    <w:rsid w:val="000F06D6"/>
    <w:rsid w:val="000F0EB1"/>
    <w:rsid w:val="000F1106"/>
    <w:rsid w:val="000F3BE9"/>
    <w:rsid w:val="000F3F6C"/>
    <w:rsid w:val="000F6DF3"/>
    <w:rsid w:val="001005FF"/>
    <w:rsid w:val="0010573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6B62"/>
    <w:rsid w:val="00180F43"/>
    <w:rsid w:val="0018143F"/>
    <w:rsid w:val="00181FF8"/>
    <w:rsid w:val="00190AC1"/>
    <w:rsid w:val="0019341A"/>
    <w:rsid w:val="00196248"/>
    <w:rsid w:val="00197DF9"/>
    <w:rsid w:val="001A1916"/>
    <w:rsid w:val="001A1987"/>
    <w:rsid w:val="001A2564"/>
    <w:rsid w:val="001A6173"/>
    <w:rsid w:val="001A6CBA"/>
    <w:rsid w:val="001B0D97"/>
    <w:rsid w:val="001B5A5D"/>
    <w:rsid w:val="001C1CE5"/>
    <w:rsid w:val="001C3D2A"/>
    <w:rsid w:val="001D51BA"/>
    <w:rsid w:val="001D53E7"/>
    <w:rsid w:val="001D6342"/>
    <w:rsid w:val="001D6D53"/>
    <w:rsid w:val="001E56D5"/>
    <w:rsid w:val="001E58E2"/>
    <w:rsid w:val="001E7AED"/>
    <w:rsid w:val="001F3916"/>
    <w:rsid w:val="001F54C5"/>
    <w:rsid w:val="001F662C"/>
    <w:rsid w:val="001F7074"/>
    <w:rsid w:val="001F7097"/>
    <w:rsid w:val="00200490"/>
    <w:rsid w:val="00201F3A"/>
    <w:rsid w:val="00203F96"/>
    <w:rsid w:val="002069B2"/>
    <w:rsid w:val="00207FA3"/>
    <w:rsid w:val="00214DA8"/>
    <w:rsid w:val="00215423"/>
    <w:rsid w:val="002158FA"/>
    <w:rsid w:val="00217AD2"/>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C571E"/>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ACC"/>
    <w:rsid w:val="00342BD7"/>
    <w:rsid w:val="00346DB5"/>
    <w:rsid w:val="003477B1"/>
    <w:rsid w:val="00357380"/>
    <w:rsid w:val="003602D9"/>
    <w:rsid w:val="003604CE"/>
    <w:rsid w:val="00370E47"/>
    <w:rsid w:val="003742AC"/>
    <w:rsid w:val="00377CE1"/>
    <w:rsid w:val="00385BF0"/>
    <w:rsid w:val="00386A70"/>
    <w:rsid w:val="00393452"/>
    <w:rsid w:val="003939FF"/>
    <w:rsid w:val="003A2223"/>
    <w:rsid w:val="003A2A0F"/>
    <w:rsid w:val="003A432D"/>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2B2"/>
    <w:rsid w:val="003E55E4"/>
    <w:rsid w:val="003E74E3"/>
    <w:rsid w:val="003F05C7"/>
    <w:rsid w:val="003F2CD4"/>
    <w:rsid w:val="003F6BBE"/>
    <w:rsid w:val="004000E8"/>
    <w:rsid w:val="00402E2B"/>
    <w:rsid w:val="004038F9"/>
    <w:rsid w:val="0040512B"/>
    <w:rsid w:val="00405CA5"/>
    <w:rsid w:val="00407CD3"/>
    <w:rsid w:val="00410134"/>
    <w:rsid w:val="00410B72"/>
    <w:rsid w:val="00410F18"/>
    <w:rsid w:val="00410F3B"/>
    <w:rsid w:val="0041263E"/>
    <w:rsid w:val="00413AAC"/>
    <w:rsid w:val="00413E92"/>
    <w:rsid w:val="00421105"/>
    <w:rsid w:val="00422AA4"/>
    <w:rsid w:val="004242F4"/>
    <w:rsid w:val="00427248"/>
    <w:rsid w:val="00437447"/>
    <w:rsid w:val="00441A92"/>
    <w:rsid w:val="004431DC"/>
    <w:rsid w:val="00444F56"/>
    <w:rsid w:val="00446488"/>
    <w:rsid w:val="004506C2"/>
    <w:rsid w:val="004517AA"/>
    <w:rsid w:val="00452CAC"/>
    <w:rsid w:val="00457565"/>
    <w:rsid w:val="00457B71"/>
    <w:rsid w:val="00464689"/>
    <w:rsid w:val="004669E2"/>
    <w:rsid w:val="00470C31"/>
    <w:rsid w:val="00471DE0"/>
    <w:rsid w:val="004734D0"/>
    <w:rsid w:val="00474582"/>
    <w:rsid w:val="0047556B"/>
    <w:rsid w:val="00477768"/>
    <w:rsid w:val="00492BC5"/>
    <w:rsid w:val="004964F1"/>
    <w:rsid w:val="004A16BC"/>
    <w:rsid w:val="004A2B94"/>
    <w:rsid w:val="004A67D2"/>
    <w:rsid w:val="004B6F6A"/>
    <w:rsid w:val="004B7C0C"/>
    <w:rsid w:val="004C3898"/>
    <w:rsid w:val="004D36B1"/>
    <w:rsid w:val="004D7EBD"/>
    <w:rsid w:val="004E2680"/>
    <w:rsid w:val="004E28F9"/>
    <w:rsid w:val="004E462E"/>
    <w:rsid w:val="004E56DC"/>
    <w:rsid w:val="004E76F4"/>
    <w:rsid w:val="004F0B4E"/>
    <w:rsid w:val="004F0B6C"/>
    <w:rsid w:val="004F12FC"/>
    <w:rsid w:val="004F2078"/>
    <w:rsid w:val="004F4DA3"/>
    <w:rsid w:val="00506557"/>
    <w:rsid w:val="0050677A"/>
    <w:rsid w:val="005108D8"/>
    <w:rsid w:val="005116F9"/>
    <w:rsid w:val="005153A7"/>
    <w:rsid w:val="00520C05"/>
    <w:rsid w:val="005219CF"/>
    <w:rsid w:val="00534B59"/>
    <w:rsid w:val="00536759"/>
    <w:rsid w:val="0053794B"/>
    <w:rsid w:val="00537C62"/>
    <w:rsid w:val="005425C2"/>
    <w:rsid w:val="00546970"/>
    <w:rsid w:val="00547D70"/>
    <w:rsid w:val="005506D7"/>
    <w:rsid w:val="00554E19"/>
    <w:rsid w:val="0056121F"/>
    <w:rsid w:val="005704AF"/>
    <w:rsid w:val="00572505"/>
    <w:rsid w:val="00572E20"/>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FC3"/>
    <w:rsid w:val="005E0E8F"/>
    <w:rsid w:val="005E385F"/>
    <w:rsid w:val="005E5B81"/>
    <w:rsid w:val="005F2CB1"/>
    <w:rsid w:val="005F3025"/>
    <w:rsid w:val="005F618C"/>
    <w:rsid w:val="005F70BD"/>
    <w:rsid w:val="0060283C"/>
    <w:rsid w:val="00604F14"/>
    <w:rsid w:val="00611B6F"/>
    <w:rsid w:val="00611B83"/>
    <w:rsid w:val="00613257"/>
    <w:rsid w:val="00620A71"/>
    <w:rsid w:val="00620D80"/>
    <w:rsid w:val="006234A6"/>
    <w:rsid w:val="00623A2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440"/>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5F3D"/>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669F"/>
    <w:rsid w:val="00797173"/>
    <w:rsid w:val="0079789A"/>
    <w:rsid w:val="007A1CB3"/>
    <w:rsid w:val="007A306F"/>
    <w:rsid w:val="007A43A6"/>
    <w:rsid w:val="007A44B6"/>
    <w:rsid w:val="007A58A6"/>
    <w:rsid w:val="007B23C8"/>
    <w:rsid w:val="007B3D2D"/>
    <w:rsid w:val="007B46CA"/>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1B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C9C"/>
    <w:rsid w:val="00874312"/>
    <w:rsid w:val="0087437C"/>
    <w:rsid w:val="00875CD7"/>
    <w:rsid w:val="00876B4D"/>
    <w:rsid w:val="00877F18"/>
    <w:rsid w:val="008941E3"/>
    <w:rsid w:val="00894A88"/>
    <w:rsid w:val="00895386"/>
    <w:rsid w:val="00896D8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CD8"/>
    <w:rsid w:val="00971F08"/>
    <w:rsid w:val="0097603D"/>
    <w:rsid w:val="00976949"/>
    <w:rsid w:val="00980477"/>
    <w:rsid w:val="00985253"/>
    <w:rsid w:val="009853B3"/>
    <w:rsid w:val="00990630"/>
    <w:rsid w:val="009908F2"/>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E6A"/>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320C"/>
    <w:rsid w:val="00A45B74"/>
    <w:rsid w:val="00A52E1D"/>
    <w:rsid w:val="00A61499"/>
    <w:rsid w:val="00A62A77"/>
    <w:rsid w:val="00A63483"/>
    <w:rsid w:val="00A657D7"/>
    <w:rsid w:val="00A660AC"/>
    <w:rsid w:val="00A67E6C"/>
    <w:rsid w:val="00A67FA3"/>
    <w:rsid w:val="00A71B99"/>
    <w:rsid w:val="00A739D0"/>
    <w:rsid w:val="00A761D4"/>
    <w:rsid w:val="00A773BF"/>
    <w:rsid w:val="00A77EC4"/>
    <w:rsid w:val="00A92879"/>
    <w:rsid w:val="00A9442A"/>
    <w:rsid w:val="00AA016F"/>
    <w:rsid w:val="00AA1ED6"/>
    <w:rsid w:val="00AA51D6"/>
    <w:rsid w:val="00AB0BC8"/>
    <w:rsid w:val="00AB11CA"/>
    <w:rsid w:val="00AB14D9"/>
    <w:rsid w:val="00AB2DBB"/>
    <w:rsid w:val="00AB4AB8"/>
    <w:rsid w:val="00AB6484"/>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5D57"/>
    <w:rsid w:val="00B372AA"/>
    <w:rsid w:val="00B40445"/>
    <w:rsid w:val="00B409E0"/>
    <w:rsid w:val="00B41888"/>
    <w:rsid w:val="00B45A52"/>
    <w:rsid w:val="00B46175"/>
    <w:rsid w:val="00B548B7"/>
    <w:rsid w:val="00B664C7"/>
    <w:rsid w:val="00B713D8"/>
    <w:rsid w:val="00B72382"/>
    <w:rsid w:val="00B739F6"/>
    <w:rsid w:val="00B81A6C"/>
    <w:rsid w:val="00B85DE5"/>
    <w:rsid w:val="00B90F73"/>
    <w:rsid w:val="00B93B59"/>
    <w:rsid w:val="00B9406A"/>
    <w:rsid w:val="00BA2280"/>
    <w:rsid w:val="00BA2A08"/>
    <w:rsid w:val="00BA56D2"/>
    <w:rsid w:val="00BA76E0"/>
    <w:rsid w:val="00BB2A25"/>
    <w:rsid w:val="00BB51E9"/>
    <w:rsid w:val="00BB7624"/>
    <w:rsid w:val="00BC061E"/>
    <w:rsid w:val="00BC0FDC"/>
    <w:rsid w:val="00BC3053"/>
    <w:rsid w:val="00BC4D2E"/>
    <w:rsid w:val="00BC55A7"/>
    <w:rsid w:val="00BD48AC"/>
    <w:rsid w:val="00BD5F1A"/>
    <w:rsid w:val="00BE1234"/>
    <w:rsid w:val="00BE2FA6"/>
    <w:rsid w:val="00BE333F"/>
    <w:rsid w:val="00BE7406"/>
    <w:rsid w:val="00BE7603"/>
    <w:rsid w:val="00BE7811"/>
    <w:rsid w:val="00BF3279"/>
    <w:rsid w:val="00BF48C2"/>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527"/>
    <w:rsid w:val="00C3719D"/>
    <w:rsid w:val="00C37CB2"/>
    <w:rsid w:val="00C4522F"/>
    <w:rsid w:val="00C473A5"/>
    <w:rsid w:val="00C54995"/>
    <w:rsid w:val="00C54D41"/>
    <w:rsid w:val="00C60783"/>
    <w:rsid w:val="00C64672"/>
    <w:rsid w:val="00C70697"/>
    <w:rsid w:val="00C72093"/>
    <w:rsid w:val="00C72EF4"/>
    <w:rsid w:val="00C744FE"/>
    <w:rsid w:val="00C75D2F"/>
    <w:rsid w:val="00C767BE"/>
    <w:rsid w:val="00C76E3C"/>
    <w:rsid w:val="00C81568"/>
    <w:rsid w:val="00C849E5"/>
    <w:rsid w:val="00C9027A"/>
    <w:rsid w:val="00C9068E"/>
    <w:rsid w:val="00C91FA2"/>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D28"/>
    <w:rsid w:val="00D36E71"/>
    <w:rsid w:val="00D37D87"/>
    <w:rsid w:val="00D40B33"/>
    <w:rsid w:val="00D4318F"/>
    <w:rsid w:val="00D438BF"/>
    <w:rsid w:val="00D440F8"/>
    <w:rsid w:val="00D546FF"/>
    <w:rsid w:val="00D55AD5"/>
    <w:rsid w:val="00D576CA"/>
    <w:rsid w:val="00D61AF5"/>
    <w:rsid w:val="00D652B5"/>
    <w:rsid w:val="00D66155"/>
    <w:rsid w:val="00D708B0"/>
    <w:rsid w:val="00D771E5"/>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386"/>
    <w:rsid w:val="00DC2D36"/>
    <w:rsid w:val="00DC53EF"/>
    <w:rsid w:val="00DE5608"/>
    <w:rsid w:val="00DE58D0"/>
    <w:rsid w:val="00DE654F"/>
    <w:rsid w:val="00DF0B6E"/>
    <w:rsid w:val="00DF15E0"/>
    <w:rsid w:val="00DF37A0"/>
    <w:rsid w:val="00E110E7"/>
    <w:rsid w:val="00E11B20"/>
    <w:rsid w:val="00E17FA2"/>
    <w:rsid w:val="00E22330"/>
    <w:rsid w:val="00E303E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28D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BA0"/>
    <w:rsid w:val="00F40F0C"/>
    <w:rsid w:val="00F4157B"/>
    <w:rsid w:val="00F4766C"/>
    <w:rsid w:val="00F5060E"/>
    <w:rsid w:val="00F507D1"/>
    <w:rsid w:val="00F519CE"/>
    <w:rsid w:val="00F51ADA"/>
    <w:rsid w:val="00F55DFA"/>
    <w:rsid w:val="00F56E29"/>
    <w:rsid w:val="00F60203"/>
    <w:rsid w:val="00F607C5"/>
    <w:rsid w:val="00F60DEA"/>
    <w:rsid w:val="00F6302A"/>
    <w:rsid w:val="00F6382E"/>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2B0E6FF-44B8-46BF-9ABB-9DCC4877E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A67FA3"/>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5</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9856</CharactersWithSpaces>
  <SharedDoc>false</SharedDoc>
  <HLinks>
    <vt:vector size="108" baseType="variant">
      <vt:variant>
        <vt:i4>1245232</vt:i4>
      </vt:variant>
      <vt:variant>
        <vt:i4>56</vt:i4>
      </vt:variant>
      <vt:variant>
        <vt:i4>0</vt:i4>
      </vt:variant>
      <vt:variant>
        <vt:i4>5</vt:i4>
      </vt:variant>
      <vt:variant>
        <vt:lpwstr/>
      </vt:variant>
      <vt:variant>
        <vt:lpwstr>_Toc130396829</vt:lpwstr>
      </vt:variant>
      <vt:variant>
        <vt:i4>1245232</vt:i4>
      </vt:variant>
      <vt:variant>
        <vt:i4>53</vt:i4>
      </vt:variant>
      <vt:variant>
        <vt:i4>0</vt:i4>
      </vt:variant>
      <vt:variant>
        <vt:i4>5</vt:i4>
      </vt:variant>
      <vt:variant>
        <vt:lpwstr/>
      </vt:variant>
      <vt:variant>
        <vt:lpwstr>_Toc130396828</vt:lpwstr>
      </vt:variant>
      <vt:variant>
        <vt:i4>1245232</vt:i4>
      </vt:variant>
      <vt:variant>
        <vt:i4>50</vt:i4>
      </vt:variant>
      <vt:variant>
        <vt:i4>0</vt:i4>
      </vt:variant>
      <vt:variant>
        <vt:i4>5</vt:i4>
      </vt:variant>
      <vt:variant>
        <vt:lpwstr/>
      </vt:variant>
      <vt:variant>
        <vt:lpwstr>_Toc130396827</vt:lpwstr>
      </vt:variant>
      <vt:variant>
        <vt:i4>1245232</vt:i4>
      </vt:variant>
      <vt:variant>
        <vt:i4>47</vt:i4>
      </vt:variant>
      <vt:variant>
        <vt:i4>0</vt:i4>
      </vt:variant>
      <vt:variant>
        <vt:i4>5</vt:i4>
      </vt:variant>
      <vt:variant>
        <vt:lpwstr/>
      </vt:variant>
      <vt:variant>
        <vt:lpwstr>_Toc130396826</vt:lpwstr>
      </vt:variant>
      <vt:variant>
        <vt:i4>1245232</vt:i4>
      </vt:variant>
      <vt:variant>
        <vt:i4>44</vt:i4>
      </vt:variant>
      <vt:variant>
        <vt:i4>0</vt:i4>
      </vt:variant>
      <vt:variant>
        <vt:i4>5</vt:i4>
      </vt:variant>
      <vt:variant>
        <vt:lpwstr/>
      </vt:variant>
      <vt:variant>
        <vt:lpwstr>_Toc130396825</vt:lpwstr>
      </vt:variant>
      <vt:variant>
        <vt:i4>1245232</vt:i4>
      </vt:variant>
      <vt:variant>
        <vt:i4>41</vt:i4>
      </vt:variant>
      <vt:variant>
        <vt:i4>0</vt:i4>
      </vt:variant>
      <vt:variant>
        <vt:i4>5</vt:i4>
      </vt:variant>
      <vt:variant>
        <vt:lpwstr/>
      </vt:variant>
      <vt:variant>
        <vt:lpwstr>_Toc130396824</vt:lpwstr>
      </vt:variant>
      <vt:variant>
        <vt:i4>1245232</vt:i4>
      </vt:variant>
      <vt:variant>
        <vt:i4>38</vt:i4>
      </vt:variant>
      <vt:variant>
        <vt:i4>0</vt:i4>
      </vt:variant>
      <vt:variant>
        <vt:i4>5</vt:i4>
      </vt:variant>
      <vt:variant>
        <vt:lpwstr/>
      </vt:variant>
      <vt:variant>
        <vt:lpwstr>_Toc130396823</vt:lpwstr>
      </vt:variant>
      <vt:variant>
        <vt:i4>1245232</vt:i4>
      </vt:variant>
      <vt:variant>
        <vt:i4>35</vt:i4>
      </vt:variant>
      <vt:variant>
        <vt:i4>0</vt:i4>
      </vt:variant>
      <vt:variant>
        <vt:i4>5</vt:i4>
      </vt:variant>
      <vt:variant>
        <vt:lpwstr/>
      </vt:variant>
      <vt:variant>
        <vt:lpwstr>_Toc130396822</vt:lpwstr>
      </vt:variant>
      <vt:variant>
        <vt:i4>1245232</vt:i4>
      </vt:variant>
      <vt:variant>
        <vt:i4>32</vt:i4>
      </vt:variant>
      <vt:variant>
        <vt:i4>0</vt:i4>
      </vt:variant>
      <vt:variant>
        <vt:i4>5</vt:i4>
      </vt:variant>
      <vt:variant>
        <vt:lpwstr/>
      </vt:variant>
      <vt:variant>
        <vt:lpwstr>_Toc130396821</vt:lpwstr>
      </vt:variant>
      <vt:variant>
        <vt:i4>1245232</vt:i4>
      </vt:variant>
      <vt:variant>
        <vt:i4>29</vt:i4>
      </vt:variant>
      <vt:variant>
        <vt:i4>0</vt:i4>
      </vt:variant>
      <vt:variant>
        <vt:i4>5</vt:i4>
      </vt:variant>
      <vt:variant>
        <vt:lpwstr/>
      </vt:variant>
      <vt:variant>
        <vt:lpwstr>_Toc130396820</vt:lpwstr>
      </vt:variant>
      <vt:variant>
        <vt:i4>1048624</vt:i4>
      </vt:variant>
      <vt:variant>
        <vt:i4>26</vt:i4>
      </vt:variant>
      <vt:variant>
        <vt:i4>0</vt:i4>
      </vt:variant>
      <vt:variant>
        <vt:i4>5</vt:i4>
      </vt:variant>
      <vt:variant>
        <vt:lpwstr/>
      </vt:variant>
      <vt:variant>
        <vt:lpwstr>_Toc130396819</vt:lpwstr>
      </vt:variant>
      <vt:variant>
        <vt:i4>1048624</vt:i4>
      </vt:variant>
      <vt:variant>
        <vt:i4>23</vt:i4>
      </vt:variant>
      <vt:variant>
        <vt:i4>0</vt:i4>
      </vt:variant>
      <vt:variant>
        <vt:i4>5</vt:i4>
      </vt:variant>
      <vt:variant>
        <vt:lpwstr/>
      </vt:variant>
      <vt:variant>
        <vt:lpwstr>_Toc130396818</vt:lpwstr>
      </vt:variant>
      <vt:variant>
        <vt:i4>1048624</vt:i4>
      </vt:variant>
      <vt:variant>
        <vt:i4>20</vt:i4>
      </vt:variant>
      <vt:variant>
        <vt:i4>0</vt:i4>
      </vt:variant>
      <vt:variant>
        <vt:i4>5</vt:i4>
      </vt:variant>
      <vt:variant>
        <vt:lpwstr/>
      </vt:variant>
      <vt:variant>
        <vt:lpwstr>_Toc130396817</vt:lpwstr>
      </vt:variant>
      <vt:variant>
        <vt:i4>1048624</vt:i4>
      </vt:variant>
      <vt:variant>
        <vt:i4>17</vt:i4>
      </vt:variant>
      <vt:variant>
        <vt:i4>0</vt:i4>
      </vt:variant>
      <vt:variant>
        <vt:i4>5</vt:i4>
      </vt:variant>
      <vt:variant>
        <vt:lpwstr/>
      </vt:variant>
      <vt:variant>
        <vt:lpwstr>_Toc130396816</vt:lpwstr>
      </vt:variant>
      <vt:variant>
        <vt:i4>1048624</vt:i4>
      </vt:variant>
      <vt:variant>
        <vt:i4>14</vt:i4>
      </vt:variant>
      <vt:variant>
        <vt:i4>0</vt:i4>
      </vt:variant>
      <vt:variant>
        <vt:i4>5</vt:i4>
      </vt:variant>
      <vt:variant>
        <vt:lpwstr/>
      </vt:variant>
      <vt:variant>
        <vt:lpwstr>_Toc130396815</vt:lpwstr>
      </vt:variant>
      <vt:variant>
        <vt:i4>1048624</vt:i4>
      </vt:variant>
      <vt:variant>
        <vt:i4>11</vt:i4>
      </vt:variant>
      <vt:variant>
        <vt:i4>0</vt:i4>
      </vt:variant>
      <vt:variant>
        <vt:i4>5</vt:i4>
      </vt:variant>
      <vt:variant>
        <vt:lpwstr/>
      </vt:variant>
      <vt:variant>
        <vt:lpwstr>_Toc130396814</vt:lpwstr>
      </vt:variant>
      <vt:variant>
        <vt:i4>1048639</vt:i4>
      </vt:variant>
      <vt:variant>
        <vt:i4>5</vt:i4>
      </vt:variant>
      <vt:variant>
        <vt:i4>0</vt:i4>
      </vt:variant>
      <vt:variant>
        <vt:i4>5</vt:i4>
      </vt:variant>
      <vt:variant>
        <vt:lpwstr/>
      </vt:variant>
      <vt:variant>
        <vt:lpwstr>_Toc130396711</vt:lpwstr>
      </vt:variant>
      <vt:variant>
        <vt:i4>1048639</vt:i4>
      </vt:variant>
      <vt:variant>
        <vt:i4>2</vt:i4>
      </vt:variant>
      <vt:variant>
        <vt:i4>0</vt:i4>
      </vt:variant>
      <vt:variant>
        <vt:i4>5</vt:i4>
      </vt:variant>
      <vt:variant>
        <vt:lpwstr/>
      </vt:variant>
      <vt:variant>
        <vt:lpwstr>_Toc130396710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67</cp:revision>
  <cp:lastPrinted>2008-02-01T08:09:00Z</cp:lastPrinted>
  <dcterms:created xsi:type="dcterms:W3CDTF">2020-08-14T21:21:00Z</dcterms:created>
  <dcterms:modified xsi:type="dcterms:W3CDTF">2023-04-09T19:13:00Z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